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33" w:rsidRPr="007D51A8" w:rsidRDefault="004B0433" w:rsidP="004B0433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7D51A8">
        <w:rPr>
          <w:rFonts w:ascii="Arial" w:hAnsi="Arial" w:cs="Arial"/>
          <w:bCs/>
          <w:iCs/>
          <w:sz w:val="18"/>
        </w:rPr>
        <w:t>Załącznik 1C do SIWZ DZP.381.</w:t>
      </w:r>
      <w:r w:rsidR="0027026D">
        <w:rPr>
          <w:rFonts w:ascii="Arial" w:hAnsi="Arial" w:cs="Arial"/>
          <w:bCs/>
          <w:iCs/>
          <w:sz w:val="18"/>
        </w:rPr>
        <w:t>7</w:t>
      </w:r>
      <w:r w:rsidRPr="007D51A8">
        <w:rPr>
          <w:rFonts w:ascii="Arial" w:hAnsi="Arial" w:cs="Arial"/>
          <w:bCs/>
          <w:iCs/>
          <w:sz w:val="18"/>
        </w:rPr>
        <w:t>.201</w:t>
      </w:r>
      <w:r w:rsidR="00172AF9">
        <w:rPr>
          <w:rFonts w:ascii="Arial" w:hAnsi="Arial" w:cs="Arial"/>
          <w:bCs/>
          <w:iCs/>
          <w:sz w:val="18"/>
        </w:rPr>
        <w:t>6</w:t>
      </w:r>
      <w:r w:rsidRPr="007D51A8">
        <w:rPr>
          <w:rFonts w:ascii="Arial" w:hAnsi="Arial" w:cs="Arial"/>
          <w:bCs/>
          <w:iCs/>
          <w:sz w:val="18"/>
        </w:rPr>
        <w:t>.UG</w:t>
      </w:r>
    </w:p>
    <w:p w:rsidR="004B0433" w:rsidRPr="007D51A8" w:rsidRDefault="004B0433" w:rsidP="004B0433">
      <w:pPr>
        <w:jc w:val="right"/>
        <w:rPr>
          <w:b/>
          <w:sz w:val="22"/>
          <w:szCs w:val="22"/>
        </w:rPr>
      </w:pPr>
    </w:p>
    <w:p w:rsidR="00997409" w:rsidRPr="007D51A8" w:rsidRDefault="00997409" w:rsidP="00997409"/>
    <w:p w:rsidR="000D368A" w:rsidRPr="007D51A8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7D51A8">
        <w:rPr>
          <w:rFonts w:ascii="Arial" w:hAnsi="Arial" w:cs="Arial"/>
          <w:b/>
          <w:color w:val="auto"/>
          <w:sz w:val="24"/>
        </w:rPr>
        <w:t>Oświadczenie</w:t>
      </w:r>
    </w:p>
    <w:p w:rsidR="000D368A" w:rsidRPr="007D51A8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 w:rsidRPr="007D51A8">
        <w:rPr>
          <w:rFonts w:ascii="Arial" w:hAnsi="Arial" w:cs="Arial"/>
          <w:b/>
        </w:rPr>
        <w:tab/>
      </w:r>
      <w:r w:rsidRPr="007D51A8">
        <w:rPr>
          <w:rFonts w:ascii="Arial" w:hAnsi="Arial" w:cs="Arial"/>
          <w:b/>
        </w:rPr>
        <w:tab/>
        <w:t>o braku podstaw do wykluczenia z udziału w postępowaniu</w:t>
      </w:r>
    </w:p>
    <w:p w:rsidR="000D368A" w:rsidRPr="007D51A8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D51A8" w:rsidRPr="007D51A8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Pr="007D51A8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Pr="007D51A8" w:rsidRDefault="000D368A" w:rsidP="000D368A">
      <w:pPr>
        <w:jc w:val="center"/>
        <w:rPr>
          <w:rFonts w:ascii="Calibri" w:hAnsi="Calibri"/>
        </w:rPr>
      </w:pPr>
    </w:p>
    <w:p w:rsidR="000D368A" w:rsidRPr="007D51A8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7D51A8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997409" w:rsidRPr="007D51A8">
        <w:rPr>
          <w:rFonts w:ascii="Arial" w:eastAsia="Calibri" w:hAnsi="Arial" w:cs="Arial"/>
          <w:b/>
          <w:bCs/>
        </w:rPr>
        <w:t>DZP.381.</w:t>
      </w:r>
      <w:r w:rsidR="0027026D">
        <w:rPr>
          <w:rFonts w:ascii="Arial" w:eastAsia="Calibri" w:hAnsi="Arial" w:cs="Arial"/>
          <w:b/>
          <w:bCs/>
        </w:rPr>
        <w:t>7</w:t>
      </w:r>
      <w:r w:rsidR="00997409" w:rsidRPr="007D51A8">
        <w:rPr>
          <w:rFonts w:ascii="Arial" w:eastAsia="Calibri" w:hAnsi="Arial" w:cs="Arial"/>
          <w:b/>
          <w:bCs/>
        </w:rPr>
        <w:t>.201</w:t>
      </w:r>
      <w:r w:rsidR="00172AF9">
        <w:rPr>
          <w:rFonts w:ascii="Arial" w:eastAsia="Calibri" w:hAnsi="Arial" w:cs="Arial"/>
          <w:b/>
          <w:bCs/>
        </w:rPr>
        <w:t>6</w:t>
      </w:r>
      <w:r w:rsidR="00997409" w:rsidRPr="007D51A8">
        <w:rPr>
          <w:rFonts w:ascii="Arial" w:eastAsia="Calibri" w:hAnsi="Arial" w:cs="Arial"/>
          <w:b/>
          <w:bCs/>
        </w:rPr>
        <w:t>.</w:t>
      </w:r>
      <w:r w:rsidR="00F745AF" w:rsidRPr="007D51A8">
        <w:rPr>
          <w:rFonts w:ascii="Arial" w:eastAsia="Calibri" w:hAnsi="Arial" w:cs="Arial"/>
          <w:b/>
          <w:bCs/>
        </w:rPr>
        <w:t>UG</w:t>
      </w:r>
      <w:r w:rsidRPr="007D51A8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7D51A8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41884" w:rsidRPr="0027026D" w:rsidRDefault="00041884" w:rsidP="00041884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27026D">
        <w:rPr>
          <w:rFonts w:ascii="Arial" w:eastAsia="Calibri" w:hAnsi="Arial" w:cs="Arial"/>
          <w:b/>
          <w:bCs/>
          <w:lang w:eastAsia="ar-SA"/>
        </w:rPr>
        <w:t>„</w:t>
      </w:r>
      <w:r w:rsidR="0027026D" w:rsidRPr="0027026D">
        <w:rPr>
          <w:rFonts w:ascii="Arial" w:hAnsi="Arial" w:cs="Arial"/>
          <w:b/>
        </w:rPr>
        <w:t xml:space="preserve">Opracowanie kompletnej dokumentacji projektowej wraz z uzyskaniem pozwolenia na budowę i pełnieniem nadzoru autorskiego nad realizacją zadania inwestycyjnego pn.: „ Uniwersytety bez granic – modernizacja infrastruktury budowlanej </w:t>
      </w:r>
      <w:proofErr w:type="spellStart"/>
      <w:r w:rsidR="0027026D" w:rsidRPr="0027026D">
        <w:rPr>
          <w:rFonts w:ascii="Arial" w:hAnsi="Arial" w:cs="Arial"/>
          <w:b/>
        </w:rPr>
        <w:t>WEiNoE</w:t>
      </w:r>
      <w:proofErr w:type="spellEnd"/>
      <w:r w:rsidR="0027026D" w:rsidRPr="0027026D">
        <w:rPr>
          <w:rFonts w:ascii="Arial" w:hAnsi="Arial" w:cs="Arial"/>
          <w:b/>
        </w:rPr>
        <w:t xml:space="preserve"> w Cieszynie, ul. Bielska 62</w:t>
      </w:r>
      <w:r w:rsidRPr="0027026D">
        <w:rPr>
          <w:rFonts w:ascii="Arial" w:eastAsia="Calibri" w:hAnsi="Arial" w:cs="Arial"/>
          <w:b/>
          <w:bCs/>
          <w:lang w:eastAsia="ar-SA"/>
        </w:rPr>
        <w:t>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201</w:t>
      </w:r>
      <w:r w:rsidR="00172AF9">
        <w:rPr>
          <w:rFonts w:ascii="Arial" w:eastAsia="Calibri" w:hAnsi="Arial" w:cs="Arial"/>
          <w:sz w:val="18"/>
          <w:szCs w:val="18"/>
        </w:rPr>
        <w:t>5</w:t>
      </w:r>
      <w:r>
        <w:rPr>
          <w:rFonts w:ascii="Arial" w:eastAsia="Calibri" w:hAnsi="Arial" w:cs="Arial"/>
          <w:sz w:val="18"/>
          <w:szCs w:val="18"/>
        </w:rPr>
        <w:t xml:space="preserve"> r., poz. </w:t>
      </w:r>
      <w:r w:rsidR="00172AF9">
        <w:rPr>
          <w:rFonts w:ascii="Arial" w:eastAsia="Calibri" w:hAnsi="Arial" w:cs="Arial"/>
          <w:sz w:val="18"/>
          <w:szCs w:val="18"/>
        </w:rPr>
        <w:t>2164</w:t>
      </w:r>
      <w:r>
        <w:rPr>
          <w:rFonts w:ascii="Arial" w:eastAsia="Calibri" w:hAnsi="Arial" w:cs="Arial"/>
          <w:sz w:val="18"/>
          <w:szCs w:val="18"/>
        </w:rPr>
        <w:t> z późn. zm.) 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0D368A" w:rsidRDefault="000D368A" w:rsidP="000D368A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0D368A" w:rsidRPr="007D51A8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7D51A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0D368A" w:rsidRPr="007D51A8" w:rsidRDefault="000D368A" w:rsidP="000D368A">
      <w:pPr>
        <w:spacing w:line="276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D51A8">
        <w:rPr>
          <w:rFonts w:ascii="Arial" w:hAnsi="Arial" w:cs="Arial"/>
          <w:sz w:val="18"/>
          <w:szCs w:val="18"/>
        </w:rPr>
        <w:t xml:space="preserve">Data i podpis osoby uprawnionej do </w:t>
      </w:r>
    </w:p>
    <w:p w:rsidR="000D368A" w:rsidRPr="007D51A8" w:rsidRDefault="000D368A" w:rsidP="000D368A">
      <w:pPr>
        <w:spacing w:line="276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D51A8">
        <w:rPr>
          <w:rFonts w:ascii="Arial" w:hAnsi="Arial" w:cs="Arial"/>
          <w:sz w:val="18"/>
          <w:szCs w:val="18"/>
        </w:rPr>
        <w:t>reprezentowania Wykonawcy</w:t>
      </w:r>
    </w:p>
    <w:p w:rsidR="000D368A" w:rsidRPr="00A54BD5" w:rsidRDefault="000D368A" w:rsidP="000D368A">
      <w:pPr>
        <w:suppressAutoHyphens/>
        <w:spacing w:before="60"/>
        <w:jc w:val="right"/>
        <w:rPr>
          <w:rFonts w:ascii="Arial" w:hAnsi="Arial" w:cs="Arial"/>
          <w:b/>
        </w:rPr>
      </w:pPr>
      <w:bookmarkStart w:id="0" w:name="_GoBack"/>
      <w:bookmarkEnd w:id="0"/>
    </w:p>
    <w:sectPr w:rsidR="000D368A" w:rsidRPr="00A54BD5" w:rsidSect="00F745AF">
      <w:headerReference w:type="default" r:id="rId8"/>
      <w:footerReference w:type="default" r:id="rId9"/>
      <w:pgSz w:w="11906" w:h="16838"/>
      <w:pgMar w:top="709" w:right="1417" w:bottom="993" w:left="1417" w:header="708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60936233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997409" w:rsidRDefault="0099740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C27FA1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C27FA1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C27FA1">
          <w:rPr>
            <w:rFonts w:ascii="Arial" w:hAnsi="Arial" w:cs="Arial"/>
            <w:sz w:val="16"/>
            <w:szCs w:val="16"/>
          </w:rPr>
          <w:instrText>PAGE    \* MERGEFORMAT</w:instrText>
        </w:r>
        <w:r w:rsidRPr="00C27FA1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27026D" w:rsidRPr="0027026D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C27FA1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C27FA1">
          <w:rPr>
            <w:rFonts w:ascii="Arial" w:eastAsiaTheme="majorEastAsia" w:hAnsi="Arial" w:cs="Arial"/>
            <w:sz w:val="16"/>
            <w:szCs w:val="16"/>
          </w:rPr>
          <w:t xml:space="preserve"> z </w:t>
        </w:r>
        <w:r w:rsidR="00F745AF">
          <w:rPr>
            <w:rFonts w:ascii="Arial" w:eastAsiaTheme="majorEastAsia" w:hAnsi="Arial" w:cs="Arial"/>
            <w:sz w:val="16"/>
            <w:szCs w:val="16"/>
          </w:rPr>
          <w:t>2</w:t>
        </w:r>
      </w:p>
      <w:p w:rsidR="00997409" w:rsidRDefault="0027026D" w:rsidP="00C27FA1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</w:sdtContent>
  </w:sdt>
  <w:p w:rsidR="00997409" w:rsidRDefault="009974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409" w:rsidRPr="007503E6" w:rsidRDefault="00997409" w:rsidP="0010102B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72AF9"/>
    <w:rsid w:val="001A6047"/>
    <w:rsid w:val="001C7592"/>
    <w:rsid w:val="001E5507"/>
    <w:rsid w:val="00205C46"/>
    <w:rsid w:val="00216107"/>
    <w:rsid w:val="00262C30"/>
    <w:rsid w:val="0027026D"/>
    <w:rsid w:val="0028212D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60B49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7D51A8"/>
    <w:rsid w:val="008316D3"/>
    <w:rsid w:val="008371E5"/>
    <w:rsid w:val="008509BB"/>
    <w:rsid w:val="008542C8"/>
    <w:rsid w:val="008720B2"/>
    <w:rsid w:val="008E272F"/>
    <w:rsid w:val="00977B02"/>
    <w:rsid w:val="00980778"/>
    <w:rsid w:val="0098277A"/>
    <w:rsid w:val="00984359"/>
    <w:rsid w:val="0099209D"/>
    <w:rsid w:val="00997409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DC0FE407</Template>
  <TotalTime>9</TotalTime>
  <Pages>2</Pages>
  <Words>802</Words>
  <Characters>5677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11</cp:revision>
  <cp:lastPrinted>2015-09-09T10:49:00Z</cp:lastPrinted>
  <dcterms:created xsi:type="dcterms:W3CDTF">2015-04-16T13:16:00Z</dcterms:created>
  <dcterms:modified xsi:type="dcterms:W3CDTF">2016-03-10T10:42:00Z</dcterms:modified>
</cp:coreProperties>
</file>