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14:paraId="50FF1CA7" w14:textId="1FB5F145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232324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987"/>
        <w:gridCol w:w="707"/>
        <w:gridCol w:w="6806"/>
      </w:tblGrid>
      <w:tr w:rsidR="00FE7E18" w:rsidRPr="0018611E" w14:paraId="50FF1CAE" w14:textId="77777777" w:rsidTr="00FE7E18">
        <w:trPr>
          <w:trHeight w:val="340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4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FE7E18">
        <w:trPr>
          <w:trHeight w:val="397"/>
        </w:trPr>
        <w:tc>
          <w:tcPr>
            <w:tcW w:w="166" w:type="pct"/>
          </w:tcPr>
          <w:p w14:paraId="50FF1CB5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4" w:type="pct"/>
            <w:shd w:val="clear" w:color="auto" w:fill="auto"/>
            <w:vAlign w:val="center"/>
          </w:tcPr>
          <w:p w14:paraId="22240C5C" w14:textId="77777777" w:rsidR="00FE7E18" w:rsidRPr="005D7A32" w:rsidRDefault="005D7A32" w:rsidP="005D7A32">
            <w:pPr>
              <w:suppressAutoHyphens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sz w:val="18"/>
                <w:szCs w:val="18"/>
              </w:rPr>
              <w:t>Pakiet oprogramowania do obliczeń kwantowo-chemicznych struktury molekularnej, reaktywności, widm elektronowych, oscylacyjnych oraz NMR:</w:t>
            </w:r>
          </w:p>
          <w:p w14:paraId="03CE1E1F" w14:textId="2130F9F7" w:rsidR="005D7A32" w:rsidRDefault="005D7A32" w:rsidP="005D7A32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sz w:val="18"/>
                <w:szCs w:val="18"/>
              </w:rPr>
              <w:t>Licencja Q-CHEM 4.3 (</w:t>
            </w: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licencja bez ograniczeń czasowych na klaster </w:t>
            </w:r>
            <w:r w:rsidR="003E22A1" w:rsidRPr="003E22A1">
              <w:rPr>
                <w:rFonts w:ascii="Arial" w:hAnsi="Arial" w:cs="Arial"/>
                <w:bCs/>
                <w:color w:val="FF0000"/>
                <w:sz w:val="18"/>
                <w:szCs w:val="18"/>
              </w:rPr>
              <w:t>44</w:t>
            </w:r>
            <w:r w:rsidRPr="003E22A1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  <w:r w:rsidRPr="005D7A32">
              <w:rPr>
                <w:rFonts w:ascii="Arial" w:hAnsi="Arial" w:cs="Arial"/>
                <w:bCs/>
                <w:sz w:val="18"/>
                <w:szCs w:val="18"/>
              </w:rPr>
              <w:t>węzłów dla maksymalnie 6 grup badawczych pracujących na tym klastrze z różnych lokalizacji geograficznych, ze wsparciem technicznym (QMP) na okres 5 lat</w:t>
            </w:r>
            <w:r>
              <w:rPr>
                <w:rFonts w:ascii="Arial" w:hAnsi="Arial" w:cs="Arial"/>
                <w:bCs/>
                <w:sz w:val="18"/>
                <w:szCs w:val="18"/>
              </w:rPr>
              <w:t>, lub równoważna</w:t>
            </w:r>
          </w:p>
          <w:p w14:paraId="5BCD0200" w14:textId="77777777" w:rsidR="005D7A32" w:rsidRPr="005D7A32" w:rsidRDefault="005D7A32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bCs/>
                <w:sz w:val="18"/>
                <w:szCs w:val="18"/>
              </w:rPr>
              <w:t>Warunki równoważności:</w:t>
            </w:r>
            <w:bookmarkStart w:id="0" w:name="_GoBack"/>
            <w:bookmarkEnd w:id="0"/>
          </w:p>
          <w:p w14:paraId="44532735" w14:textId="77777777" w:rsidR="005D7A32" w:rsidRPr="005D7A32" w:rsidRDefault="005D7A32" w:rsidP="005D7A32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Pakiet oprogramowania do obliczeń kwantowo-chemicznych struktury molekularnej, reaktywności, widm elektronowych, oscylacyjnych oraz NMR zapewniający:</w:t>
            </w:r>
          </w:p>
          <w:p w14:paraId="2A0E45CE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zintegrowany interfejs graficzny z kontekstowym systemem pomocy, umożliwiający konstruowanie molekuł, generowanie plików wejściowych do obliczeń oraz wizualizacje wyników</w:t>
            </w:r>
          </w:p>
          <w:p w14:paraId="0098C389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metodami SCF dla stanów podstawowych: RHF, UHF, ROSHF,  z wykorzystaniem analitycznych pierwszych i drugich pochodnych odpowiednio dla optymalizacji geometrii oraz analizy częstości harmonicznych, z ulepszeniami dla poprawy zbieżności (DIIS,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Initial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Guessing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MOM, DM, RCA)</w:t>
            </w:r>
          </w:p>
          <w:p w14:paraId="7F920E1F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DFT z wykorzystaniem następujących funkcjonałów: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Slater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Beckee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'88 (B), GGA91 (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Perdew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'91, PW91),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Gill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'96, Gilbert and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Gill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'99 (GG99),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Handy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and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Cohen's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OPTX (HC_OPTX), VWN (#5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lastRenderedPageBreak/>
              <w:t>parameterization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), Lee-Yang-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Parr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(LYP), LYP (EDF1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parameterization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Perdew-Zunger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'81 (PZ81),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Perdew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'86 (P86),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Wigner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EDF1 and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Becke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(EDF1), PBE, SOGGA, SOGGA11,   B3LYP, B3PW91, B3LYP5, SOGGA11-X, BMK, MPW1B95, MPWB1K, PW6B95, PWB6K, M05, M05-2X, M06, M06-2X, M06-HF, M08, M11, B3tLap, BR89BR94hyb,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TPSSh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M06-L,M11-L, PK06, BR89, B94, TPSS, LRC-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ωPBEPBE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LRC-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ωPBEhPBE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ωB97, ωB97X,  ωB97X-D, CAM-B3LYP, </w:t>
            </w:r>
          </w:p>
          <w:p w14:paraId="2134B3AD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typu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Constrained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DFT</w:t>
            </w:r>
          </w:p>
          <w:p w14:paraId="7DDDAEF6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obliczenia DFT z wykorzystaniem kwadratur numerycznych oraz analitycznych pierwszych i drugich pochodnych odpowiednio dla optymalizacji geometrii oraz analizy częstości harmonicznych</w:t>
            </w:r>
          </w:p>
          <w:p w14:paraId="3C8E1FA2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metodami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Linear Scaling: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mrXC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, FTC, CFMM,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LinK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, ART, Grid Based Integration, Dual Basis</w:t>
            </w:r>
          </w:p>
          <w:p w14:paraId="336064E4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całek dwuelektronowych metodami COLD PRISM oraz J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Matrix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Engine</w:t>
            </w:r>
          </w:p>
          <w:p w14:paraId="140B4CE8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metodami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MP2, Local MP2, RI-MP2, Dual-basis RI-MP2, SOS-MP2, MOS-MP2, Attenuated MP2</w:t>
            </w:r>
          </w:p>
          <w:p w14:paraId="10921E1A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metodami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sprzężonych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klasterów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: CCSD, EOM-CCSD, CCSD(T), CCSD(2), QCISD, QCISD(T), QCISD(2), OD, OD(T), OD(2), VOOCC, VOD, VOD(T), VQCCD,  VOD(2), CCVB</w:t>
            </w:r>
          </w:p>
          <w:p w14:paraId="5099794D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obliczenia dla stanów wzbudzonych: metodami CIS/XCIS, TD-DFT, EOM-CCS</w:t>
            </w:r>
          </w:p>
          <w:p w14:paraId="2ACF5F1B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automatyczna optymalizacja geometrii i struktur przejściowych</w:t>
            </w:r>
          </w:p>
          <w:p w14:paraId="70806A5E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wyznaczanie widm oscylacyjnych z poprawkami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anharmonicznymi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z wykorzystaniem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calkowania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po trajektoriach oraz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kwaziklasycznej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dynamiki molekularnej</w:t>
            </w:r>
          </w:p>
          <w:p w14:paraId="097D9701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lastRenderedPageBreak/>
              <w:t>obliczenia parametrów widm NMR o skalowalności liniowej</w:t>
            </w:r>
          </w:p>
          <w:p w14:paraId="3216C8C5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analiza populacyjna, analiza gęstości elektronowych, analiza AIMPAC, analiza rozkładu gęstości w przestrzeni pędów</w:t>
            </w:r>
          </w:p>
          <w:p w14:paraId="2F210B61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modelowanie efektów rozpuszczalnika: model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Onsagera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Langevina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SS(V)PE, SM8, PCM, COSMO</w:t>
            </w:r>
          </w:p>
          <w:p w14:paraId="21BE4B9A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obliczanie poprawek relatywistycznych oraz  poprawek adiabatycznych i BSSE</w:t>
            </w:r>
          </w:p>
          <w:p w14:paraId="1C6711BD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analiza oddziaływań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międzymolekularnych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: SCF-MI, SCF-MI/RS, EDA, COVP</w:t>
            </w:r>
          </w:p>
          <w:p w14:paraId="39203B61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wizualizacja wiązań niekowalencyjnych (Johnson/Yang)</w:t>
            </w:r>
          </w:p>
          <w:p w14:paraId="2492C92A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wykorzystanie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pseudopotencjalów</w:t>
            </w:r>
            <w:proofErr w:type="spellEnd"/>
          </w:p>
          <w:p w14:paraId="2E3C0A54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obliczenia QM/MM</w:t>
            </w:r>
          </w:p>
          <w:p w14:paraId="20048B17" w14:textId="77777777" w:rsid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wsparcie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OpenMP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dla SCD/DFT, MP2, CC, </w:t>
            </w:r>
          </w:p>
          <w:p w14:paraId="50650996" w14:textId="6958A474" w:rsid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transformacji całkowych</w:t>
            </w:r>
          </w:p>
          <w:p w14:paraId="50FF1CBB" w14:textId="515DFAD1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akceleracja GPU dla RI-MP2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F36A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0617AB24" w:rsidR="003348DC" w:rsidRDefault="003348DC" w:rsidP="003348DC">
      <w:pPr>
        <w:rPr>
          <w:rFonts w:eastAsia="Arial Unicode MS"/>
          <w:lang w:eastAsia="en-US"/>
        </w:rPr>
      </w:pPr>
    </w:p>
    <w:p w14:paraId="6FA6F268" w14:textId="541789D5" w:rsidR="003348DC" w:rsidRPr="005D7A32" w:rsidRDefault="003348DC" w:rsidP="00FE7E18">
      <w:pPr>
        <w:spacing w:line="360" w:lineRule="auto"/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  <w:t>Wymagania dodatkowe:</w:t>
      </w:r>
    </w:p>
    <w:p w14:paraId="7296AD1D" w14:textId="29AD8826" w:rsidR="00FE7E18" w:rsidRPr="005D7A32" w:rsidRDefault="00FE7E18" w:rsidP="00FE7E18">
      <w:pPr>
        <w:suppressAutoHyphens/>
        <w:spacing w:line="360" w:lineRule="auto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Usługa wsparcia technicznego i aktualizacji co najmniej 60 miesięcy</w:t>
      </w:r>
      <w:r w:rsidR="005D7A32"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(5 lat)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. W ramach świadczenia usługi wsparcia technicznego i aktualizacji dla oprogramowania przez </w:t>
      </w:r>
      <w:r w:rsidR="005C4C25" w:rsidRPr="005C4C25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producenta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, Zamawiający musi mieć prawo do:</w:t>
      </w:r>
    </w:p>
    <w:p w14:paraId="0E1B7139" w14:textId="77777777" w:rsidR="007E3345" w:rsidRPr="007E3345" w:rsidRDefault="007E3345" w:rsidP="007E3345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otrzymania udoskonale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do wersji bie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żą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 oprogramowania (otrzymanie wyda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uzupe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niaj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ą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cych, poprawek programistycznych) bez dodatkowych op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at licencyjnych</w:t>
      </w:r>
    </w:p>
    <w:p w14:paraId="4CF18CF4" w14:textId="7F9C1913" w:rsidR="00FE7E18" w:rsidRPr="005D7A32" w:rsidRDefault="007E3345" w:rsidP="007E3345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</w:pP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zgłaszania błędów do </w:t>
      </w:r>
      <w:r w:rsidR="005C4C25" w:rsidRPr="005C4C25">
        <w:rPr>
          <w:rFonts w:ascii="Arial" w:eastAsia="Arial Unicode MS" w:hAnsi="Arial" w:cs="Arial"/>
          <w:color w:val="FF0000"/>
          <w:sz w:val="16"/>
          <w:szCs w:val="16"/>
          <w:lang w:eastAsia="en-US"/>
        </w:rPr>
        <w:t>producenta</w:t>
      </w:r>
      <w:r w:rsidR="00FE7E18" w:rsidRPr="005D7A32"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  <w:t>;</w:t>
      </w:r>
    </w:p>
    <w:p w14:paraId="50FF1CCA" w14:textId="77777777" w:rsidR="00C62139" w:rsidRPr="005D7A32" w:rsidRDefault="00C62139" w:rsidP="005D7A32">
      <w:pPr>
        <w:spacing w:line="360" w:lineRule="auto"/>
        <w:rPr>
          <w:rFonts w:ascii="Arial" w:hAnsi="Arial" w:cs="Arial"/>
          <w:sz w:val="16"/>
          <w:szCs w:val="16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Na podstawie art. 29 ust. 3 </w:t>
      </w:r>
      <w:proofErr w:type="spellStart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50FF1CCC" w14:textId="77777777" w:rsidR="00681C75" w:rsidRDefault="00681C75" w:rsidP="00681C75">
      <w:pPr>
        <w:jc w:val="center"/>
      </w:pPr>
    </w:p>
    <w:p w14:paraId="024F3E96" w14:textId="77777777" w:rsidR="005D7A32" w:rsidRDefault="005D7A32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D671D8" w:rsidRDefault="00D671D8" w:rsidP="00654654">
      <w:r>
        <w:separator/>
      </w:r>
    </w:p>
  </w:endnote>
  <w:endnote w:type="continuationSeparator" w:id="0">
    <w:p w14:paraId="50FF1CD5" w14:textId="77777777" w:rsidR="00D671D8" w:rsidRDefault="00D671D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6628D3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6628D3" w:rsidRPr="006628D3" w:rsidRDefault="006628D3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6628D3" w:rsidRPr="006702F9" w14:paraId="5989AD46" w14:textId="77777777" w:rsidTr="00EA4935">
      <w:tc>
        <w:tcPr>
          <w:tcW w:w="2453" w:type="pct"/>
          <w:shd w:val="clear" w:color="auto" w:fill="auto"/>
        </w:tcPr>
        <w:p w14:paraId="31EC1622" w14:textId="77777777" w:rsidR="006628D3" w:rsidRPr="006702F9" w:rsidRDefault="006628D3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6628D3" w:rsidRPr="006702F9" w:rsidRDefault="006628D3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6628D3" w:rsidRDefault="006628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D671D8" w:rsidRDefault="00D671D8" w:rsidP="00654654">
      <w:r>
        <w:separator/>
      </w:r>
    </w:p>
  </w:footnote>
  <w:footnote w:type="continuationSeparator" w:id="0">
    <w:p w14:paraId="50FF1CD3" w14:textId="77777777" w:rsidR="00D671D8" w:rsidRDefault="00D671D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6628D3" w:rsidRDefault="006628D3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3A25D4B4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232324">
      <w:rPr>
        <w:rFonts w:cs="Calibri"/>
        <w:b/>
      </w:rPr>
      <w:t>A</w:t>
    </w:r>
    <w:r>
      <w:rPr>
        <w:rFonts w:cs="Calibri"/>
        <w:b/>
      </w:rPr>
      <w:t xml:space="preserve"> do SIWZ DZP.381</w:t>
    </w:r>
    <w:r w:rsidR="00232324">
      <w:rPr>
        <w:rFonts w:cs="Calibri"/>
        <w:b/>
      </w:rPr>
      <w:t>.</w:t>
    </w:r>
    <w:r w:rsidR="00531079">
      <w:rPr>
        <w:rFonts w:cs="Calibri"/>
        <w:b/>
      </w:rPr>
      <w:t>149</w:t>
    </w:r>
    <w:r w:rsidR="00232324">
      <w:rPr>
        <w:rFonts w:cs="Calibri"/>
        <w:b/>
      </w:rPr>
      <w:t>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  <w:r w:rsidR="005C4C25">
      <w:rPr>
        <w:rFonts w:cs="Calibri"/>
        <w:b/>
      </w:rPr>
      <w:t xml:space="preserve"> (zm</w:t>
    </w:r>
    <w:r w:rsidR="003E22A1">
      <w:rPr>
        <w:rFonts w:cs="Calibri"/>
        <w:b/>
      </w:rPr>
      <w:t>2</w:t>
    </w:r>
    <w:r w:rsidR="005C4C25">
      <w:rPr>
        <w:rFonts w:cs="Calibri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75A9E"/>
    <w:multiLevelType w:val="multilevel"/>
    <w:tmpl w:val="49268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02780"/>
    <w:rsid w:val="0012734D"/>
    <w:rsid w:val="00136846"/>
    <w:rsid w:val="00140F8F"/>
    <w:rsid w:val="0018611E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348DC"/>
    <w:rsid w:val="003831A2"/>
    <w:rsid w:val="003E22A1"/>
    <w:rsid w:val="004C5ACE"/>
    <w:rsid w:val="004D6EE6"/>
    <w:rsid w:val="00516B39"/>
    <w:rsid w:val="00523E8F"/>
    <w:rsid w:val="00531079"/>
    <w:rsid w:val="005A413C"/>
    <w:rsid w:val="005C4510"/>
    <w:rsid w:val="005C4C25"/>
    <w:rsid w:val="005D7A32"/>
    <w:rsid w:val="006139BB"/>
    <w:rsid w:val="00654654"/>
    <w:rsid w:val="006628D3"/>
    <w:rsid w:val="00681C75"/>
    <w:rsid w:val="007E3345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5EF519-C835-41AB-9E6B-2E9D29B8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1D25B0C3.dotm</Template>
  <TotalTime>32</TotalTime>
  <Pages>3</Pages>
  <Words>593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59</cp:revision>
  <cp:lastPrinted>2014-07-17T10:21:00Z</cp:lastPrinted>
  <dcterms:created xsi:type="dcterms:W3CDTF">2013-12-19T09:22:00Z</dcterms:created>
  <dcterms:modified xsi:type="dcterms:W3CDTF">2015-11-09T11:00:00Z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