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right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2 do ogłoszenia</w:t>
      </w: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Techniczna Wykonania i Odbioru </w:t>
      </w:r>
    </w:p>
    <w:p>
      <w:pPr>
        <w:spacing w:after="0" w:line="360" w:lineRule="auto"/>
        <w:jc w:val="center"/>
        <w:rPr>
          <w:b/>
          <w:color w:val="FF0000"/>
          <w:sz w:val="16"/>
          <w:szCs w:val="16"/>
        </w:rPr>
      </w:pPr>
      <w:r>
        <w:rPr>
          <w:sz w:val="28"/>
          <w:szCs w:val="28"/>
        </w:rPr>
        <w:t xml:space="preserve">Postępowanie nr  </w:t>
      </w:r>
      <w:r>
        <w:rPr>
          <w:b/>
          <w:sz w:val="28"/>
          <w:szCs w:val="28"/>
        </w:rPr>
        <w:t>DGN.2250.44.2024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I. CZĘŚĆ OGÓLNA</w:t>
      </w:r>
    </w:p>
    <w:p>
      <w:pPr>
        <w:ind w:lef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I.1 Zamawiający</w:t>
      </w:r>
      <w:r>
        <w:rPr>
          <w:rFonts w:asciiTheme="minorHAnsi" w:hAnsiTheme="minorHAnsi"/>
          <w:sz w:val="24"/>
          <w:szCs w:val="24"/>
        </w:rPr>
        <w:t>: Uniwersytet Śląski  w Katowicach, ul. Bankowa 12, 40-007 Katowice</w:t>
      </w:r>
      <w:r>
        <w:rPr>
          <w:rFonts w:asciiTheme="minorHAnsi" w:hAnsiTheme="minorHAnsi"/>
          <w:sz w:val="24"/>
          <w:szCs w:val="24"/>
        </w:rPr>
        <w:br w:type="textWrapping"/>
      </w:r>
      <w:r>
        <w:rPr>
          <w:rFonts w:asciiTheme="minorHAnsi" w:hAnsiTheme="minorHAnsi"/>
          <w:b/>
          <w:sz w:val="24"/>
          <w:szCs w:val="24"/>
        </w:rPr>
        <w:t xml:space="preserve"> I.2 Przedmiot zamówienia: </w:t>
      </w:r>
    </w:p>
    <w:p>
      <w:pPr>
        <w:spacing w:after="0"/>
        <w:ind w:left="284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Wykonanie okresowej kontroli instalacji i urządzeń gazowych, tj. dwóch przeglądów </w:t>
      </w:r>
    </w:p>
    <w:p>
      <w:pPr>
        <w:spacing w:after="0"/>
        <w:ind w:left="284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2024, 2025, oraz jednego w I półroczu 2026 roku w budynkach Uniwersytetu Śl. </w:t>
      </w:r>
    </w:p>
    <w:p>
      <w:pPr>
        <w:spacing w:after="0"/>
        <w:ind w:left="284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Termin realizacji</w:t>
      </w:r>
      <w:r>
        <w:rPr>
          <w:rFonts w:asciiTheme="minorHAnsi" w:hAnsiTheme="minorHAnsi"/>
          <w:sz w:val="24"/>
          <w:szCs w:val="24"/>
        </w:rPr>
        <w:t xml:space="preserve"> –    </w:t>
      </w:r>
    </w:p>
    <w:p>
      <w:pPr>
        <w:spacing w:after="0"/>
        <w:ind w:left="284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2 x  w  roku – kwiecień/maj 2024 i 2025 i październik/listopad 2024 i 2025, oraz 1x w roku 2026</w:t>
      </w:r>
    </w:p>
    <w:p>
      <w:pPr>
        <w:spacing w:after="0"/>
        <w:ind w:left="284" w:hanging="426"/>
        <w:jc w:val="both"/>
        <w:rPr>
          <w:rFonts w:asciiTheme="minorHAnsi" w:hAnsiTheme="minorHAnsi"/>
          <w:sz w:val="24"/>
          <w:szCs w:val="24"/>
        </w:rPr>
      </w:pPr>
    </w:p>
    <w:p>
      <w:pPr>
        <w:ind w:left="284" w:hanging="426"/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I.3 Zakres stosowania specyfikacji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Specyfikacja techniczna wykonania i odbioru robót jest częścią   dokumentacji przetargowej i należy ją stosować jako dokument przetargowy i kontraktowy przy zlecaniu i realizacji robót opisanych poniżej.</w:t>
      </w:r>
    </w:p>
    <w:p>
      <w:pPr>
        <w:ind w:left="284" w:hanging="426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b/>
          <w:sz w:val="24"/>
          <w:szCs w:val="24"/>
        </w:rPr>
        <w:t>.4 Zakres robót</w:t>
      </w:r>
      <w:r>
        <w:rPr>
          <w:sz w:val="24"/>
          <w:szCs w:val="24"/>
        </w:rPr>
        <w:t>: usługi techniczne – CPV  45333000-0</w:t>
      </w:r>
    </w:p>
    <w:p>
      <w:pPr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I.5 Opis robót: </w:t>
      </w:r>
    </w:p>
    <w:p>
      <w:pPr>
        <w:pStyle w:val="21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Kontrolę instalacji gazowych w terminach jak w pkt I.2 należy wykonać w obiektach, zgodnie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z załączonym wykazem stanowiącym formularz ofertowy - Załącznik nr 3.</w:t>
      </w:r>
    </w:p>
    <w:p>
      <w:pPr>
        <w:pStyle w:val="21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  stanowi integralną część oferty.</w:t>
      </w:r>
    </w:p>
    <w:p>
      <w:pPr>
        <w:pStyle w:val="21"/>
        <w:numPr>
          <w:ilvl w:val="0"/>
          <w:numId w:val="1"/>
        </w:numPr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usługi, Wykonawca przedstawi harmonogram prac, ustalony z administracją poszczególnych obiektów.</w:t>
      </w:r>
    </w:p>
    <w:p>
      <w:pPr>
        <w:pStyle w:val="21"/>
        <w:numPr>
          <w:ilvl w:val="0"/>
          <w:numId w:val="1"/>
        </w:numPr>
        <w:tabs>
          <w:tab w:val="left" w:pos="426"/>
          <w:tab w:val="left" w:pos="4140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Wszystkie materiały i sprzęt zapewnia Wykonawca.</w:t>
      </w:r>
    </w:p>
    <w:p>
      <w:pPr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I.6 Informacje o terenie wykonywanej usługi: </w:t>
      </w:r>
    </w:p>
    <w:p>
      <w:pPr>
        <w:spacing w:after="0"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Czynności związane z wykonywaniem przedmiotowych dwóch przeglądów będą przeprowadzane na terenie w pełnym zakresie funkcjonujących obiektów Uniwersytetu Śląskiego. </w:t>
      </w:r>
    </w:p>
    <w:p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Wykonawca musi uwzględnić (z uwagi na trwający rok szkolny) funkcjonowanie obiektów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 i dostosować się do planu zajęć na wydziałach lub innego harmonogramu wynikającego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 z funkcjonowania uczelni w czasie pandemii w  poszczególnych obiektach.</w:t>
      </w:r>
      <w:r>
        <w:rPr>
          <w:sz w:val="24"/>
          <w:szCs w:val="24"/>
        </w:rPr>
        <w:t xml:space="preserve"> </w:t>
      </w:r>
    </w:p>
    <w:p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Wykonawca ma obowiązek tak organizować swoje czynności, aby w jak najmniejszym stopniu zakłócać funkcjonowanie obiektów.</w:t>
      </w:r>
    </w:p>
    <w:p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szczególności w związku z pkt I.6.1 do I.6.3, rozpoczęcie prac należy każdorazowo uzgodnić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z Administratorem w danym obiekcie na minimum 2 dni przed rozpoczęciem robót. </w:t>
      </w:r>
    </w:p>
    <w:p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ma obowiązek tak organizować roboty, aby nie dopuścić do uszkodzenia elementów obiektu. Wszystkie uszkodzenia Wykonawca usunie na własny koszt. Wykonawca ma obowiązek znać i stosować w czasie prowadzenia robót wszelkie przepisy dotyczące ochrony środowiska naturalnego i prawa budowlanego.  </w:t>
      </w:r>
    </w:p>
    <w:p>
      <w:pPr>
        <w:ind w:left="284" w:hanging="114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II. WYMAGANIA DOTYCZĄCE WŁAŚCIWOŚCI MATERIAŁÓW</w:t>
      </w:r>
    </w:p>
    <w:p>
      <w:pPr>
        <w:pStyle w:val="21"/>
        <w:spacing w:after="0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Dopuszczanie do stosowania : </w:t>
      </w:r>
      <w:r>
        <w:rPr>
          <w:sz w:val="24"/>
          <w:szCs w:val="24"/>
        </w:rPr>
        <w:t>materiały powinny być zgodne z obowiązującymi normami oraz</w:t>
      </w:r>
    </w:p>
    <w:p>
      <w:pPr>
        <w:pStyle w:val="21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posiadać certyfikaty zgodności z Polskimi Normami lub aprobatą techniczną.</w:t>
      </w:r>
    </w:p>
    <w:p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Wszystkie materiały potrzebne do wykonania zadania zabezpiecza Wykonawca.</w:t>
      </w:r>
    </w:p>
    <w:p>
      <w:pPr>
        <w:pStyle w:val="21"/>
        <w:jc w:val="both"/>
        <w:rPr>
          <w:sz w:val="24"/>
          <w:szCs w:val="24"/>
        </w:rPr>
      </w:pPr>
    </w:p>
    <w:p>
      <w:pPr>
        <w:pStyle w:val="21"/>
        <w:ind w:hanging="4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WYMAGANIA DOTYCZĄCE SPRZĘTU</w:t>
      </w:r>
    </w:p>
    <w:p>
      <w:pPr>
        <w:pStyle w:val="21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dotyczące stosowania sprzętu</w:t>
      </w:r>
      <w:r>
        <w:rPr>
          <w:sz w:val="24"/>
          <w:szCs w:val="24"/>
        </w:rPr>
        <w:t xml:space="preserve"> : maszyny i narzędzia specjalistyczne niezbędne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do wykonania czynności będących przedmiotem zamówienia, gwarantujących wymaganą jakość robót zabezpiecza Wykonawca - Wykonawca winien przedłożyć kserokopię, ważnej i aktualnej legalizacji urządzenia pomiarowego - (ważność legalizacji – 1 rok.</w:t>
      </w:r>
    </w:p>
    <w:p>
      <w:pPr>
        <w:pStyle w:val="21"/>
        <w:jc w:val="both"/>
        <w:rPr>
          <w:sz w:val="24"/>
          <w:szCs w:val="24"/>
        </w:rPr>
      </w:pPr>
    </w:p>
    <w:p>
      <w:pPr>
        <w:pStyle w:val="21"/>
        <w:ind w:hanging="4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OPIS DZIAŁAŃ ZWIĄZANYCH Z ODBIOREM ROBÓT</w:t>
      </w:r>
    </w:p>
    <w:p>
      <w:pPr>
        <w:pStyle w:val="21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Roboty będą podlegały następującym odbiorom:</w:t>
      </w:r>
    </w:p>
    <w:p>
      <w:pPr>
        <w:pStyle w:val="21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wykonanie prac związanych z przedmiotem umowy - odbiór końcowy </w:t>
      </w:r>
    </w:p>
    <w:p>
      <w:pPr>
        <w:pStyle w:val="21"/>
        <w:jc w:val="both"/>
        <w:rPr>
          <w:sz w:val="24"/>
          <w:szCs w:val="24"/>
        </w:rPr>
      </w:pPr>
    </w:p>
    <w:p>
      <w:pPr>
        <w:pStyle w:val="21"/>
        <w:ind w:hanging="4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WYMAGANIA DOTYCZĄCE SPOSOBU ROZLICZENIA ROBÓT </w:t>
      </w:r>
    </w:p>
    <w:p>
      <w:pPr>
        <w:pStyle w:val="21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Podstawą płatności jest cena skalkulowana przez Wykonawcę w ofercie, przyjęta przez Zamawiającego w dokumentach umownych.</w:t>
      </w:r>
    </w:p>
    <w:p>
      <w:pPr>
        <w:pStyle w:val="21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będzie uwzględniać wszystkie prace dodatkowe służące do wykonania zadania.</w:t>
      </w:r>
    </w:p>
    <w:p>
      <w:pPr>
        <w:pStyle w:val="21"/>
        <w:jc w:val="both"/>
        <w:rPr>
          <w:sz w:val="24"/>
          <w:szCs w:val="24"/>
        </w:rPr>
      </w:pPr>
    </w:p>
    <w:p>
      <w:pPr>
        <w:pStyle w:val="21"/>
        <w:ind w:hanging="4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WYMAGANIA DODATKOWE</w:t>
      </w:r>
    </w:p>
    <w:p>
      <w:pPr>
        <w:pStyle w:val="21"/>
        <w:spacing w:line="360" w:lineRule="auto"/>
        <w:ind w:left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Kryterium oceny ofert – Cena;    Waga kryterium -  100 %.</w:t>
      </w:r>
    </w:p>
    <w:p>
      <w:pPr>
        <w:pStyle w:val="21"/>
        <w:spacing w:line="360" w:lineRule="auto"/>
        <w:jc w:val="both"/>
        <w:rPr>
          <w:sz w:val="24"/>
          <w:szCs w:val="24"/>
        </w:rPr>
      </w:pPr>
    </w:p>
    <w:sectPr>
      <w:pgSz w:w="11906" w:h="16838"/>
      <w:pgMar w:top="1135" w:right="851" w:bottom="567" w:left="1134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219B6"/>
    <w:multiLevelType w:val="multilevel"/>
    <w:tmpl w:val="5B1219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D1"/>
    <w:rsid w:val="00016724"/>
    <w:rsid w:val="00030DD1"/>
    <w:rsid w:val="00052EAF"/>
    <w:rsid w:val="0006402D"/>
    <w:rsid w:val="000717CF"/>
    <w:rsid w:val="00085FEC"/>
    <w:rsid w:val="0009598A"/>
    <w:rsid w:val="000B1E49"/>
    <w:rsid w:val="000C241E"/>
    <w:rsid w:val="000D0CA2"/>
    <w:rsid w:val="000D4772"/>
    <w:rsid w:val="000E6791"/>
    <w:rsid w:val="000F56EF"/>
    <w:rsid w:val="000F78FA"/>
    <w:rsid w:val="00105CAE"/>
    <w:rsid w:val="001208C7"/>
    <w:rsid w:val="00123749"/>
    <w:rsid w:val="00131CAD"/>
    <w:rsid w:val="001532DF"/>
    <w:rsid w:val="001C44B9"/>
    <w:rsid w:val="001C6A86"/>
    <w:rsid w:val="001F29A4"/>
    <w:rsid w:val="00200E99"/>
    <w:rsid w:val="00222CE1"/>
    <w:rsid w:val="00224EC8"/>
    <w:rsid w:val="00245F2F"/>
    <w:rsid w:val="002533EC"/>
    <w:rsid w:val="00266A5E"/>
    <w:rsid w:val="00272BC5"/>
    <w:rsid w:val="00274938"/>
    <w:rsid w:val="0028524C"/>
    <w:rsid w:val="00290634"/>
    <w:rsid w:val="002B4FF3"/>
    <w:rsid w:val="002B6700"/>
    <w:rsid w:val="002C10D6"/>
    <w:rsid w:val="002D3254"/>
    <w:rsid w:val="002D767B"/>
    <w:rsid w:val="002E7A13"/>
    <w:rsid w:val="002F571D"/>
    <w:rsid w:val="00301E48"/>
    <w:rsid w:val="003031FB"/>
    <w:rsid w:val="003155F7"/>
    <w:rsid w:val="0032558E"/>
    <w:rsid w:val="00334640"/>
    <w:rsid w:val="003574A7"/>
    <w:rsid w:val="00360425"/>
    <w:rsid w:val="0036122C"/>
    <w:rsid w:val="003620D6"/>
    <w:rsid w:val="00363868"/>
    <w:rsid w:val="00367491"/>
    <w:rsid w:val="00391F96"/>
    <w:rsid w:val="00394246"/>
    <w:rsid w:val="003A69BE"/>
    <w:rsid w:val="003A75CB"/>
    <w:rsid w:val="003D48CE"/>
    <w:rsid w:val="003E2092"/>
    <w:rsid w:val="003E3EA7"/>
    <w:rsid w:val="003F13D3"/>
    <w:rsid w:val="00404E21"/>
    <w:rsid w:val="00440D53"/>
    <w:rsid w:val="00447485"/>
    <w:rsid w:val="0045159A"/>
    <w:rsid w:val="00454D8A"/>
    <w:rsid w:val="00465654"/>
    <w:rsid w:val="004756B3"/>
    <w:rsid w:val="004958E0"/>
    <w:rsid w:val="004B270A"/>
    <w:rsid w:val="004B66ED"/>
    <w:rsid w:val="004C4813"/>
    <w:rsid w:val="004D2DE8"/>
    <w:rsid w:val="004D33CE"/>
    <w:rsid w:val="004E472B"/>
    <w:rsid w:val="004F1C7E"/>
    <w:rsid w:val="004F7E59"/>
    <w:rsid w:val="0050008A"/>
    <w:rsid w:val="005207D3"/>
    <w:rsid w:val="00557166"/>
    <w:rsid w:val="00567A35"/>
    <w:rsid w:val="00573DF7"/>
    <w:rsid w:val="00581AB8"/>
    <w:rsid w:val="00582C1A"/>
    <w:rsid w:val="00587366"/>
    <w:rsid w:val="00592A1C"/>
    <w:rsid w:val="00594820"/>
    <w:rsid w:val="00597EF5"/>
    <w:rsid w:val="005A7608"/>
    <w:rsid w:val="005D3AB3"/>
    <w:rsid w:val="005D3E89"/>
    <w:rsid w:val="005D5A1C"/>
    <w:rsid w:val="005E3A41"/>
    <w:rsid w:val="005E3A52"/>
    <w:rsid w:val="00600EF8"/>
    <w:rsid w:val="0061525F"/>
    <w:rsid w:val="00621F06"/>
    <w:rsid w:val="00624412"/>
    <w:rsid w:val="0062596F"/>
    <w:rsid w:val="00625A34"/>
    <w:rsid w:val="00632A95"/>
    <w:rsid w:val="00635360"/>
    <w:rsid w:val="00645750"/>
    <w:rsid w:val="006459FE"/>
    <w:rsid w:val="00667B74"/>
    <w:rsid w:val="00674E58"/>
    <w:rsid w:val="00681949"/>
    <w:rsid w:val="006819F0"/>
    <w:rsid w:val="006838F2"/>
    <w:rsid w:val="00690D4D"/>
    <w:rsid w:val="00694915"/>
    <w:rsid w:val="006A37F7"/>
    <w:rsid w:val="006B62EC"/>
    <w:rsid w:val="006C136F"/>
    <w:rsid w:val="006C1E9D"/>
    <w:rsid w:val="006C25E2"/>
    <w:rsid w:val="006E27C4"/>
    <w:rsid w:val="006E4C59"/>
    <w:rsid w:val="006F002A"/>
    <w:rsid w:val="006F46A8"/>
    <w:rsid w:val="00721608"/>
    <w:rsid w:val="007275FC"/>
    <w:rsid w:val="007351AB"/>
    <w:rsid w:val="0073747E"/>
    <w:rsid w:val="0074480F"/>
    <w:rsid w:val="00761803"/>
    <w:rsid w:val="0076198A"/>
    <w:rsid w:val="00783966"/>
    <w:rsid w:val="007A1882"/>
    <w:rsid w:val="007A7C41"/>
    <w:rsid w:val="007B0FA6"/>
    <w:rsid w:val="007B13FC"/>
    <w:rsid w:val="007B3995"/>
    <w:rsid w:val="007C138B"/>
    <w:rsid w:val="007D0FC6"/>
    <w:rsid w:val="007D3C98"/>
    <w:rsid w:val="0081179D"/>
    <w:rsid w:val="00834FA5"/>
    <w:rsid w:val="00864B4C"/>
    <w:rsid w:val="008742C5"/>
    <w:rsid w:val="00875BCA"/>
    <w:rsid w:val="00883254"/>
    <w:rsid w:val="008A43CD"/>
    <w:rsid w:val="008B3676"/>
    <w:rsid w:val="008C6433"/>
    <w:rsid w:val="008E3D6C"/>
    <w:rsid w:val="008E7D67"/>
    <w:rsid w:val="00906651"/>
    <w:rsid w:val="009128CE"/>
    <w:rsid w:val="00920EA6"/>
    <w:rsid w:val="009305BE"/>
    <w:rsid w:val="00934325"/>
    <w:rsid w:val="009544CD"/>
    <w:rsid w:val="00954B3A"/>
    <w:rsid w:val="00971638"/>
    <w:rsid w:val="00986086"/>
    <w:rsid w:val="009A1464"/>
    <w:rsid w:val="009A2CD1"/>
    <w:rsid w:val="009B0C16"/>
    <w:rsid w:val="009D6323"/>
    <w:rsid w:val="00A00128"/>
    <w:rsid w:val="00A029B2"/>
    <w:rsid w:val="00A0386B"/>
    <w:rsid w:val="00A343B0"/>
    <w:rsid w:val="00A42ABC"/>
    <w:rsid w:val="00A44340"/>
    <w:rsid w:val="00A44B64"/>
    <w:rsid w:val="00A45720"/>
    <w:rsid w:val="00A511A6"/>
    <w:rsid w:val="00A72F2E"/>
    <w:rsid w:val="00A76764"/>
    <w:rsid w:val="00A8108F"/>
    <w:rsid w:val="00A9152C"/>
    <w:rsid w:val="00AB6554"/>
    <w:rsid w:val="00AD2607"/>
    <w:rsid w:val="00AE5D9B"/>
    <w:rsid w:val="00AE7850"/>
    <w:rsid w:val="00B219C4"/>
    <w:rsid w:val="00B258D7"/>
    <w:rsid w:val="00B308EC"/>
    <w:rsid w:val="00B37CD5"/>
    <w:rsid w:val="00B56E22"/>
    <w:rsid w:val="00B60E1D"/>
    <w:rsid w:val="00B63A46"/>
    <w:rsid w:val="00B76CAE"/>
    <w:rsid w:val="00B92CA0"/>
    <w:rsid w:val="00BA6291"/>
    <w:rsid w:val="00BB09A1"/>
    <w:rsid w:val="00BB653B"/>
    <w:rsid w:val="00BC4353"/>
    <w:rsid w:val="00BD485C"/>
    <w:rsid w:val="00BD5C0B"/>
    <w:rsid w:val="00BD70C7"/>
    <w:rsid w:val="00BE039B"/>
    <w:rsid w:val="00BF20AD"/>
    <w:rsid w:val="00BF20F3"/>
    <w:rsid w:val="00BF36EF"/>
    <w:rsid w:val="00C010AF"/>
    <w:rsid w:val="00C14ECE"/>
    <w:rsid w:val="00C36C30"/>
    <w:rsid w:val="00C511B1"/>
    <w:rsid w:val="00C77A29"/>
    <w:rsid w:val="00C90D29"/>
    <w:rsid w:val="00CB075B"/>
    <w:rsid w:val="00CC40A5"/>
    <w:rsid w:val="00CD7692"/>
    <w:rsid w:val="00CF22FA"/>
    <w:rsid w:val="00D13DB3"/>
    <w:rsid w:val="00D15826"/>
    <w:rsid w:val="00D25126"/>
    <w:rsid w:val="00D439F4"/>
    <w:rsid w:val="00D54917"/>
    <w:rsid w:val="00D9742C"/>
    <w:rsid w:val="00D97C5F"/>
    <w:rsid w:val="00DA2A03"/>
    <w:rsid w:val="00DB3412"/>
    <w:rsid w:val="00DB64DD"/>
    <w:rsid w:val="00DC714A"/>
    <w:rsid w:val="00DD126F"/>
    <w:rsid w:val="00DE01DE"/>
    <w:rsid w:val="00DE1752"/>
    <w:rsid w:val="00DF03CC"/>
    <w:rsid w:val="00E01B39"/>
    <w:rsid w:val="00E07EE6"/>
    <w:rsid w:val="00E12F35"/>
    <w:rsid w:val="00E1373C"/>
    <w:rsid w:val="00E208A7"/>
    <w:rsid w:val="00E279E7"/>
    <w:rsid w:val="00E42C1A"/>
    <w:rsid w:val="00E83FAD"/>
    <w:rsid w:val="00E9382C"/>
    <w:rsid w:val="00E94923"/>
    <w:rsid w:val="00E97C0A"/>
    <w:rsid w:val="00EA2E5B"/>
    <w:rsid w:val="00EB1A73"/>
    <w:rsid w:val="00EC0D7E"/>
    <w:rsid w:val="00EC1075"/>
    <w:rsid w:val="00EC307C"/>
    <w:rsid w:val="00EC5316"/>
    <w:rsid w:val="00EC628C"/>
    <w:rsid w:val="00ED27ED"/>
    <w:rsid w:val="00ED3CCF"/>
    <w:rsid w:val="00ED6B68"/>
    <w:rsid w:val="00EF0580"/>
    <w:rsid w:val="00F11A2A"/>
    <w:rsid w:val="00F1447E"/>
    <w:rsid w:val="00F17B05"/>
    <w:rsid w:val="00F211CB"/>
    <w:rsid w:val="00F472E6"/>
    <w:rsid w:val="00F71514"/>
    <w:rsid w:val="00F74A95"/>
    <w:rsid w:val="00F7692F"/>
    <w:rsid w:val="00F8640F"/>
    <w:rsid w:val="00FC476D"/>
    <w:rsid w:val="00FC729D"/>
    <w:rsid w:val="00FC7E5E"/>
    <w:rsid w:val="00FD5FB4"/>
    <w:rsid w:val="00FE16B5"/>
    <w:rsid w:val="00FE341E"/>
    <w:rsid w:val="00FE56FC"/>
    <w:rsid w:val="101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/>
      <w:b/>
      <w:sz w:val="24"/>
      <w:szCs w:val="20"/>
      <w:lang w:eastAsia="pl-PL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after="0" w:line="240" w:lineRule="auto"/>
      <w:ind w:left="708" w:firstLine="708"/>
      <w:jc w:val="both"/>
      <w:outlineLvl w:val="2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24"/>
      <w:szCs w:val="20"/>
      <w:lang w:eastAsia="pl-PL"/>
    </w:rPr>
  </w:style>
  <w:style w:type="paragraph" w:styleId="8">
    <w:name w:val="Body Text 2"/>
    <w:basedOn w:val="1"/>
    <w:link w:val="20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9">
    <w:name w:val="Body Text Indent"/>
    <w:basedOn w:val="1"/>
    <w:link w:val="16"/>
    <w:qFormat/>
    <w:uiPriority w:val="0"/>
    <w:pPr>
      <w:spacing w:after="0" w:line="240" w:lineRule="auto"/>
      <w:ind w:left="705" w:hanging="705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10">
    <w:name w:val="Body Text Indent 2"/>
    <w:basedOn w:val="1"/>
    <w:link w:val="18"/>
    <w:qFormat/>
    <w:uiPriority w:val="0"/>
    <w:pPr>
      <w:spacing w:after="0" w:line="240" w:lineRule="auto"/>
      <w:ind w:left="993" w:hanging="288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11">
    <w:name w:val="footer"/>
    <w:basedOn w:val="1"/>
    <w:link w:val="17"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12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28"/>
      <w:szCs w:val="20"/>
      <w:lang w:eastAsia="pl-PL"/>
    </w:rPr>
  </w:style>
  <w:style w:type="character" w:customStyle="1" w:styleId="13">
    <w:name w:val="Nagłówek 2 Znak"/>
    <w:basedOn w:val="4"/>
    <w:link w:val="2"/>
    <w:qFormat/>
    <w:uiPriority w:val="0"/>
    <w:rPr>
      <w:rFonts w:ascii="Times New Roman" w:hAnsi="Times New Roman" w:eastAsia="Times New Roman"/>
      <w:b/>
      <w:sz w:val="24"/>
    </w:rPr>
  </w:style>
  <w:style w:type="character" w:customStyle="1" w:styleId="14">
    <w:name w:val="Nagłówek 3 Znak"/>
    <w:basedOn w:val="4"/>
    <w:link w:val="3"/>
    <w:qFormat/>
    <w:uiPriority w:val="0"/>
    <w:rPr>
      <w:rFonts w:ascii="Times New Roman" w:hAnsi="Times New Roman" w:eastAsia="Times New Roman"/>
      <w:i/>
      <w:sz w:val="24"/>
    </w:rPr>
  </w:style>
  <w:style w:type="character" w:customStyle="1" w:styleId="15">
    <w:name w:val="Tytuł Znak"/>
    <w:basedOn w:val="4"/>
    <w:link w:val="12"/>
    <w:uiPriority w:val="0"/>
    <w:rPr>
      <w:rFonts w:ascii="Times New Roman" w:hAnsi="Times New Roman" w:eastAsia="Times New Roman"/>
      <w:b/>
      <w:sz w:val="28"/>
    </w:rPr>
  </w:style>
  <w:style w:type="character" w:customStyle="1" w:styleId="16">
    <w:name w:val="Tekst podstawowy wcięty Znak"/>
    <w:basedOn w:val="4"/>
    <w:link w:val="9"/>
    <w:uiPriority w:val="0"/>
    <w:rPr>
      <w:rFonts w:ascii="Times New Roman" w:hAnsi="Times New Roman" w:eastAsia="Times New Roman"/>
      <w:sz w:val="24"/>
    </w:rPr>
  </w:style>
  <w:style w:type="character" w:customStyle="1" w:styleId="17">
    <w:name w:val="Stopka Znak"/>
    <w:basedOn w:val="4"/>
    <w:link w:val="11"/>
    <w:qFormat/>
    <w:uiPriority w:val="0"/>
    <w:rPr>
      <w:rFonts w:ascii="Times New Roman" w:hAnsi="Times New Roman" w:eastAsia="Times New Roman"/>
      <w:sz w:val="24"/>
    </w:rPr>
  </w:style>
  <w:style w:type="character" w:customStyle="1" w:styleId="18">
    <w:name w:val="Tekst podstawowy wcięty 2 Znak"/>
    <w:basedOn w:val="4"/>
    <w:link w:val="10"/>
    <w:qFormat/>
    <w:uiPriority w:val="0"/>
    <w:rPr>
      <w:rFonts w:ascii="Times New Roman" w:hAnsi="Times New Roman" w:eastAsia="Times New Roman"/>
      <w:sz w:val="24"/>
    </w:rPr>
  </w:style>
  <w:style w:type="character" w:customStyle="1" w:styleId="19">
    <w:name w:val="Tekst podstawowy Znak"/>
    <w:basedOn w:val="4"/>
    <w:link w:val="7"/>
    <w:qFormat/>
    <w:uiPriority w:val="0"/>
    <w:rPr>
      <w:rFonts w:ascii="Times New Roman" w:hAnsi="Times New Roman" w:eastAsia="Times New Roman"/>
      <w:b/>
      <w:sz w:val="24"/>
    </w:rPr>
  </w:style>
  <w:style w:type="character" w:customStyle="1" w:styleId="20">
    <w:name w:val="Tekst podstawowy 2 Znak"/>
    <w:basedOn w:val="4"/>
    <w:link w:val="8"/>
    <w:qFormat/>
    <w:uiPriority w:val="0"/>
    <w:rPr>
      <w:rFonts w:ascii="Times New Roman" w:hAnsi="Times New Roman" w:eastAsia="Times New Roman"/>
      <w:sz w:val="24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Tekst dymka Znak"/>
    <w:basedOn w:val="4"/>
    <w:link w:val="6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77C7-C5A4-452E-8C17-9EF7A427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Uniwersytet Śląski</Company>
  <Pages>2</Pages>
  <Words>492</Words>
  <Characters>2954</Characters>
  <Lines>24</Lines>
  <Paragraphs>6</Paragraphs>
  <TotalTime>12</TotalTime>
  <ScaleCrop>false</ScaleCrop>
  <LinksUpToDate>false</LinksUpToDate>
  <CharactersWithSpaces>3440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2024-02-08T13:32:00Z</dcterms:created>
  <dc:creator>Andrzej Kuwak</dc:creator>
  <cp:lastModifiedBy>Anna Wójciga</cp:lastModifiedBy>
  <cp:lastPrinted>2018-04-09T09:05:00Z</cp:lastPrinted>
  <dcterms:modified xsi:type="dcterms:W3CDTF">2024-02-12T23:16:28Z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033D0AEB251A4FF3A8D6A0A63EA6C9E5_13</vt:lpwstr>
  </property>
</Properties>
</file>