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tblpY="438"/>
        <w:tblW w:w="0" w:type="auto"/>
        <w:tblLook w:val="04A0" w:firstRow="1" w:lastRow="0" w:firstColumn="1" w:lastColumn="0" w:noHBand="0" w:noVBand="1"/>
      </w:tblPr>
      <w:tblGrid>
        <w:gridCol w:w="4619"/>
        <w:gridCol w:w="4619"/>
      </w:tblGrid>
      <w:tr w:rsidR="000B3866" w:rsidRPr="009325C3" w:rsidTr="004C7779">
        <w:tc>
          <w:tcPr>
            <w:tcW w:w="4619" w:type="dxa"/>
            <w:shd w:val="clear" w:color="auto" w:fill="DEEAF6" w:themeFill="accent1" w:themeFillTint="33"/>
          </w:tcPr>
          <w:p w:rsidR="000B3866" w:rsidRPr="009325C3" w:rsidRDefault="00B93ADC" w:rsidP="004C77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  <w:p w:rsidR="000B3866" w:rsidRPr="009325C3" w:rsidRDefault="000B3866" w:rsidP="004C77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325C3">
              <w:rPr>
                <w:rFonts w:ascii="Arial" w:hAnsi="Arial" w:cs="Arial"/>
                <w:b/>
                <w:bCs/>
                <w:sz w:val="18"/>
                <w:szCs w:val="18"/>
              </w:rPr>
              <w:t>PARAMETRY MINIMALNE</w:t>
            </w:r>
            <w:r w:rsidRPr="009325C3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WYMAGANE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PRZEZ ZAMAWIAJĄCEGO</w:t>
            </w:r>
          </w:p>
          <w:p w:rsidR="000B3866" w:rsidRPr="001F42E8" w:rsidRDefault="000B3866" w:rsidP="004C7779">
            <w:pPr>
              <w:spacing w:line="36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F42E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Elementy systemu sieci bezprzewodowej - 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40 punktów</w:t>
            </w:r>
            <w:r w:rsidRPr="001F42E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dostępow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ych</w:t>
            </w:r>
            <w:r w:rsidRPr="001F42E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z zasilaczami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, elementami mocującymi oraz</w:t>
            </w:r>
            <w:r w:rsidRPr="001F42E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oprogramowaniem zarządzającym</w:t>
            </w:r>
          </w:p>
        </w:tc>
        <w:tc>
          <w:tcPr>
            <w:tcW w:w="4619" w:type="dxa"/>
            <w:shd w:val="clear" w:color="auto" w:fill="DEEAF6" w:themeFill="accent1" w:themeFillTint="33"/>
          </w:tcPr>
          <w:p w:rsidR="000B3866" w:rsidRPr="009325C3" w:rsidRDefault="000B3866" w:rsidP="004C777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B3866" w:rsidRPr="009325C3" w:rsidRDefault="000B3866" w:rsidP="004C7779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B3866" w:rsidRPr="009325C3" w:rsidRDefault="000B3866" w:rsidP="004C777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25C3">
              <w:rPr>
                <w:rFonts w:ascii="Arial" w:hAnsi="Arial" w:cs="Arial"/>
                <w:b/>
                <w:bCs/>
                <w:sz w:val="18"/>
                <w:szCs w:val="18"/>
              </w:rPr>
              <w:t>OPIS TECHNICZNY OFEROWANYCH URZĄDZEŃ</w:t>
            </w:r>
          </w:p>
        </w:tc>
      </w:tr>
      <w:tr w:rsidR="000B3866" w:rsidRPr="009325C3" w:rsidTr="004C7779">
        <w:trPr>
          <w:trHeight w:val="741"/>
        </w:trPr>
        <w:tc>
          <w:tcPr>
            <w:tcW w:w="4619" w:type="dxa"/>
            <w:shd w:val="clear" w:color="auto" w:fill="FFFFCC"/>
          </w:tcPr>
          <w:p w:rsidR="000B3866" w:rsidRPr="009325C3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B3866" w:rsidRPr="009325C3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325C3">
              <w:rPr>
                <w:rFonts w:ascii="Arial" w:hAnsi="Arial" w:cs="Arial"/>
                <w:b/>
                <w:sz w:val="18"/>
                <w:szCs w:val="18"/>
              </w:rPr>
              <w:t>Wyposażenie musi zawierać:</w:t>
            </w:r>
          </w:p>
        </w:tc>
        <w:tc>
          <w:tcPr>
            <w:tcW w:w="4619" w:type="dxa"/>
            <w:shd w:val="clear" w:color="auto" w:fill="FFFFCC"/>
          </w:tcPr>
          <w:p w:rsidR="000B3866" w:rsidRPr="009325C3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B3866" w:rsidRPr="009325C3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325C3">
              <w:rPr>
                <w:rFonts w:ascii="Arial" w:hAnsi="Arial" w:cs="Arial"/>
                <w:b/>
                <w:sz w:val="18"/>
                <w:szCs w:val="18"/>
              </w:rPr>
              <w:t>Wyposażenie zawiera:</w:t>
            </w: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- 1 interfejs 10/100/1000 Base-T  WAN z możliwością zasilania przez zasilacz PoE 802.3af oraz 802.3at;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D023A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</w:t>
            </w: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- 1 interfejs konsoli RS-232 RJ45;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- 1 gniazdo zasilania DC 12V;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- przycisk przywracający konfigurację fabryczną 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- zaczep linki zabezpieczającej (</w:t>
            </w:r>
            <w:proofErr w:type="spellStart"/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Kensington</w:t>
            </w:r>
            <w:proofErr w:type="spellEnd"/>
            <w:r w:rsidR="00B25750">
              <w:rPr>
                <w:rFonts w:ascii="Arial" w:eastAsia="SimSun" w:hAnsi="Arial" w:cs="Arial"/>
                <w:sz w:val="18"/>
                <w:szCs w:val="18"/>
                <w:lang w:eastAsia="ar-SA"/>
              </w:rPr>
              <w:t xml:space="preserve"> lub równoważny</w:t>
            </w: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);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C013F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- </w:t>
            </w:r>
            <w:r w:rsidR="000C013F" w:rsidRPr="000C013F">
              <w:t xml:space="preserve"> </w:t>
            </w:r>
            <w:r w:rsidR="000C013F" w:rsidRPr="000C013F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co najmniej dwie anteny 2x2:2 MIMO, z parametrami co najmniej: 1.5 </w:t>
            </w:r>
            <w:proofErr w:type="spellStart"/>
            <w:r w:rsidR="000C013F" w:rsidRPr="000C013F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dBi</w:t>
            </w:r>
            <w:proofErr w:type="spellEnd"/>
            <w:r w:rsidR="000C013F" w:rsidRPr="000C013F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 dla 2.4GHz oraz 3 </w:t>
            </w:r>
            <w:proofErr w:type="spellStart"/>
            <w:r w:rsidR="000C013F" w:rsidRPr="000C013F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dBi</w:t>
            </w:r>
            <w:proofErr w:type="spellEnd"/>
            <w:r w:rsidR="000C013F" w:rsidRPr="000C013F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 dla 5GHz</w:t>
            </w:r>
          </w:p>
          <w:p w:rsidR="000C013F" w:rsidRPr="000C013F" w:rsidRDefault="000C013F" w:rsidP="004C7779">
            <w:pPr>
              <w:spacing w:line="360" w:lineRule="auto"/>
              <w:rPr>
                <w:rFonts w:ascii="Arial" w:eastAsia="SimSun" w:hAnsi="Arial" w:cs="Arial"/>
                <w:b/>
                <w:color w:val="000000"/>
                <w:sz w:val="18"/>
                <w:szCs w:val="18"/>
                <w:lang w:eastAsia="ar-SA"/>
              </w:rPr>
            </w:pPr>
            <w:r w:rsidRPr="000C013F">
              <w:rPr>
                <w:rFonts w:ascii="Arial" w:eastAsia="SimSun" w:hAnsi="Arial" w:cs="Arial"/>
                <w:b/>
                <w:color w:val="000000"/>
                <w:sz w:val="18"/>
                <w:szCs w:val="18"/>
                <w:lang w:eastAsia="ar-SA"/>
              </w:rPr>
              <w:t>UWAGA:</w:t>
            </w:r>
          </w:p>
          <w:p w:rsidR="000C013F" w:rsidRPr="000C013F" w:rsidRDefault="000C013F" w:rsidP="004C7779">
            <w:pPr>
              <w:spacing w:line="360" w:lineRule="auto"/>
              <w:rPr>
                <w:rFonts w:ascii="Arial" w:eastAsia="SimSun" w:hAnsi="Arial" w:cs="Arial"/>
                <w:b/>
                <w:color w:val="000000"/>
                <w:sz w:val="18"/>
                <w:szCs w:val="18"/>
                <w:lang w:eastAsia="ar-SA"/>
              </w:rPr>
            </w:pPr>
            <w:r w:rsidRPr="000C013F">
              <w:rPr>
                <w:rFonts w:ascii="Arial" w:eastAsia="SimSun" w:hAnsi="Arial" w:cs="Arial"/>
                <w:b/>
                <w:color w:val="000000"/>
                <w:sz w:val="18"/>
                <w:szCs w:val="18"/>
                <w:lang w:eastAsia="ar-SA"/>
              </w:rPr>
              <w:t>Jeżeli Wykonawca zaoferuje w tej pozycji:</w:t>
            </w:r>
          </w:p>
          <w:p w:rsidR="000B3866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co najmniej cztery wewnętrzne anteny 2x2:2 MIMO, z parametrami co najmniej: 4 </w:t>
            </w:r>
            <w:proofErr w:type="spellStart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dBi</w:t>
            </w:r>
            <w:proofErr w:type="spellEnd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 dla 2.4GHz oraz 6 </w:t>
            </w:r>
            <w:proofErr w:type="spellStart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dBi</w:t>
            </w:r>
            <w:proofErr w:type="spellEnd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 dla 5GHz;</w:t>
            </w:r>
          </w:p>
          <w:p w:rsidR="000C013F" w:rsidRPr="000C013F" w:rsidRDefault="000C013F" w:rsidP="004C7779">
            <w:pPr>
              <w:spacing w:line="360" w:lineRule="auto"/>
              <w:rPr>
                <w:rFonts w:ascii="Arial" w:eastAsia="SimSun" w:hAnsi="Arial" w:cs="Arial"/>
                <w:b/>
                <w:color w:val="000000"/>
                <w:sz w:val="18"/>
                <w:szCs w:val="18"/>
                <w:lang w:eastAsia="ar-SA"/>
              </w:rPr>
            </w:pPr>
            <w:r w:rsidRPr="000C013F">
              <w:rPr>
                <w:rFonts w:ascii="Arial" w:eastAsia="SimSun" w:hAnsi="Arial" w:cs="Arial"/>
                <w:b/>
                <w:color w:val="000000"/>
                <w:sz w:val="18"/>
                <w:szCs w:val="18"/>
                <w:lang w:eastAsia="ar-SA"/>
              </w:rPr>
              <w:t xml:space="preserve">otrzyma dodatkowe punkty w kryterium </w:t>
            </w:r>
            <w:r>
              <w:rPr>
                <w:rFonts w:ascii="Arial" w:eastAsia="SimSun" w:hAnsi="Arial" w:cs="Arial"/>
                <w:b/>
                <w:color w:val="000000"/>
                <w:sz w:val="18"/>
                <w:szCs w:val="18"/>
                <w:lang w:eastAsia="ar-SA"/>
              </w:rPr>
              <w:t>„rozwiązania funkcjonalne” zgodnie z rozdz. XI ust. 1 SIWZ.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- zasilacz sieciowy AC 220V DC 12V/18W z przewodem zasilającym;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- elementy montażowe do sufitu lub ściany (kolor biały);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  <w:shd w:val="clear" w:color="auto" w:fill="FFFFCC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D023A">
              <w:rPr>
                <w:rFonts w:ascii="Arial" w:hAnsi="Arial" w:cs="Arial"/>
                <w:b/>
                <w:sz w:val="18"/>
                <w:szCs w:val="18"/>
              </w:rPr>
              <w:t>Funkcjonalność musi umożliwiać:</w:t>
            </w:r>
          </w:p>
        </w:tc>
        <w:tc>
          <w:tcPr>
            <w:tcW w:w="4619" w:type="dxa"/>
            <w:shd w:val="clear" w:color="auto" w:fill="FFFFCC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D023A">
              <w:rPr>
                <w:rFonts w:ascii="Arial" w:hAnsi="Arial" w:cs="Arial"/>
                <w:b/>
                <w:sz w:val="18"/>
                <w:szCs w:val="18"/>
              </w:rPr>
              <w:t>Funkcjonalność umożliwia:</w:t>
            </w: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 xml:space="preserve">- </w:t>
            </w: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montaż wewnątrz budynków; 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pracę w dwóch kanałach radiowych (2,4 GHz i 5 GHz) jednocześnie (z obsługą standardów 802.11b, 802.11a/g/n/</w:t>
            </w:r>
            <w:proofErr w:type="spellStart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ac</w:t>
            </w:r>
            <w:proofErr w:type="spellEnd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);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- współpracę  z centralnym kontrolerem sieci bezprzewodowej; 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- pracę w trybie autonomicznym bez nadzoru centralnego kontrolera: 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zarządzanie przez przeglądarkę internetową z protokołem HTTPS;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lastRenderedPageBreak/>
              <w:t>- pełną konfigurację z poziomu przeglądarki;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1955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- wspólną konfigurację zbioru punktów umieszczonych w  jednej sieci LAN w warstwie 2, w tym:  </w:t>
            </w:r>
          </w:p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system operacyjny zainstalowany w punktach dostępowych musi umożliwiać automatyczny wybór jednego punktu dostępowego jako elementu zarządzającego;</w:t>
            </w:r>
          </w:p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w przypadku awarii punktu zarządzającego kolejny punkt dostępowy w sieci musi przejąć jego rolę w sposób automatyczny;</w:t>
            </w:r>
          </w:p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modyfikacja konfiguracji musi się automatycznie propagować na pozostałe punkty dostępowe;</w:t>
            </w:r>
          </w:p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obraz systemu operacyjnego musi się automatycznie propagować na pozostałe punkty dostępowe, aby wszystkie punkty miały tę samą jego wersję;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działanie zintegrowanej z oprogramowaniem punktu dostępowego zapory sieciowej;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wykorzystanie serwera DHCP;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wykorzystanie  serwera RADIUS, umożliwiającego terminowanie sesji EAP bezpośrednio na urządzeniach, bez pośrednictwa zewnętrznych elementów;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obsługę terminowania sesji EAP w co najmniej następujących opcjach: (EAP-TLS, PEAP-MSCHAPv2, PEAP-GTC, TTLS-MSCHAPv2);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integrację z zewnętrznymi serwerami uwierzytelniania RADIUS oraz LDAP;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  <w:vMerge w:val="restart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obsługę nie mniej niż 5 niezależnych SSID;</w:t>
            </w:r>
          </w:p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każde SSID musi mieć możliwość przypisania w sposób statyczny lub dynamiczny do sieci VLAN;</w:t>
            </w:r>
          </w:p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- musi istnieć możliwość uwierzytelniania użytkowników za pomocą portalu WWW, przynajmniej: </w:t>
            </w:r>
          </w:p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portal wbudowany w urządzenie, bez konieczności instalowania jakichkolwiek dodatkowych urządzeń/oprogramowania;</w:t>
            </w:r>
          </w:p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zewnętrzny portal WWW;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  <w:vMerge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zdefiniowanie odseparowanej sieci gościnnej z funkcją NAT;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obsługę kont gościnnych przez wbudowany serwer uwierzytelniający;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- automatyczne zarządzanie pasmem radiowym w sieci punktów dostępowych za pomocą mechanizmów </w:t>
            </w:r>
            <w:proofErr w:type="spellStart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autoadaptacyjnych</w:t>
            </w:r>
            <w:proofErr w:type="spellEnd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, w tym nie mniej niż: </w:t>
            </w:r>
          </w:p>
          <w:p w:rsidR="000B3866" w:rsidRPr="00BD023A" w:rsidRDefault="000B3866" w:rsidP="004C7779">
            <w:pPr>
              <w:spacing w:line="360" w:lineRule="auto"/>
              <w:ind w:left="318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 xml:space="preserve">- automatyczne definiowanie kanału pracy oraz </w:t>
            </w: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lastRenderedPageBreak/>
              <w:t>mocy sygnału dla poszczególnych punktów dostępowych przy uwzględnieniu warunków oraz otoczenia, w którym pracują punkty dostępowe</w:t>
            </w:r>
          </w:p>
          <w:p w:rsidR="000B3866" w:rsidRPr="00BD023A" w:rsidRDefault="000B3866" w:rsidP="004C7779">
            <w:pPr>
              <w:spacing w:line="360" w:lineRule="auto"/>
              <w:ind w:left="318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- stałe monitorowanie pasma oraz usług w celu zapewnienia niezakłóconej pracy systemu</w:t>
            </w:r>
          </w:p>
          <w:p w:rsidR="000B3866" w:rsidRPr="00BD023A" w:rsidRDefault="000B3866" w:rsidP="004C7779">
            <w:pPr>
              <w:spacing w:line="360" w:lineRule="auto"/>
              <w:ind w:left="318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- rozkład ruchu pomiędzy różnymi punkami dostępowym bazując na ilości użytkowników oraz utylizacji pasma</w:t>
            </w:r>
          </w:p>
          <w:p w:rsidR="000B3866" w:rsidRPr="00BD023A" w:rsidRDefault="000B3866" w:rsidP="004C7779">
            <w:pPr>
              <w:spacing w:line="360" w:lineRule="auto"/>
              <w:ind w:left="318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- wykrywanie interferencji oraz miejsc bez pokrycia sygnału</w:t>
            </w:r>
          </w:p>
          <w:p w:rsidR="000B3866" w:rsidRPr="00BD023A" w:rsidRDefault="000B3866" w:rsidP="004C7779">
            <w:pPr>
              <w:spacing w:line="360" w:lineRule="auto"/>
              <w:ind w:left="318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- wyrównywanie czasów dostępu do pasma dla klientów pracujących w standardzie 802.11n oraz starszych (802.11a/b/g)</w:t>
            </w:r>
          </w:p>
          <w:p w:rsidR="000B3866" w:rsidRPr="00BD023A" w:rsidRDefault="000B3866" w:rsidP="004C7779">
            <w:pPr>
              <w:spacing w:line="360" w:lineRule="auto"/>
              <w:ind w:left="318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-wsparcie dla 802.11d oraz 802.11h</w:t>
            </w:r>
          </w:p>
          <w:p w:rsidR="000B3866" w:rsidRPr="00BD023A" w:rsidRDefault="000B3866" w:rsidP="004C7779">
            <w:pPr>
              <w:spacing w:line="360" w:lineRule="auto"/>
              <w:ind w:left="318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- obsługa tzw. „</w:t>
            </w:r>
            <w:proofErr w:type="spellStart"/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Sticky</w:t>
            </w:r>
            <w:proofErr w:type="spellEnd"/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Clients</w:t>
            </w:r>
            <w:proofErr w:type="spellEnd"/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” polegająca na automatycznym przełączaniu klientów do punktu dostępowe</w:t>
            </w:r>
            <w:r>
              <w:rPr>
                <w:rFonts w:ascii="Arial" w:eastAsia="SimSun" w:hAnsi="Arial" w:cs="Arial"/>
                <w:sz w:val="18"/>
                <w:szCs w:val="18"/>
                <w:lang w:eastAsia="ar-SA"/>
              </w:rPr>
              <w:t>go oferującego najlepszy sygnał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lastRenderedPageBreak/>
              <w:t xml:space="preserve">- obsługę </w:t>
            </w:r>
            <w:proofErr w:type="spellStart"/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roamingu</w:t>
            </w:r>
            <w:proofErr w:type="spellEnd"/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 xml:space="preserve"> klientów w warstwie 3 pomiędzy różnymi grupami punktów dostępowych, z zachowaniem adresu IP klienta;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 xml:space="preserve">- obsługę </w:t>
            </w:r>
            <w:proofErr w:type="spellStart"/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roamingu</w:t>
            </w:r>
            <w:proofErr w:type="spellEnd"/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 xml:space="preserve"> klientów w warstwie 2 przez: </w:t>
            </w:r>
            <w:proofErr w:type="spellStart"/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Oportunistic</w:t>
            </w:r>
            <w:proofErr w:type="spellEnd"/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Key</w:t>
            </w:r>
            <w:proofErr w:type="spellEnd"/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Caching</w:t>
            </w:r>
            <w:proofErr w:type="spellEnd"/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, 802.11r, 802.11v, 802.11k;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- obsługę monitoringu przez SNMP;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- obsługę logowania na zewnętrznym serwerze SYSLOG;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wykrywania ataków na sieć bezprzewodową w zakresie ataków na infrastrukturę i klientów sieci za pomocą mechanizmu wbudowanego w system;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uzyskiwanie za pomocą wbudowanego interfejsu zarządzania następujących informacji o działaniu systemu:</w:t>
            </w:r>
          </w:p>
          <w:p w:rsidR="000B3866" w:rsidRPr="00BD023A" w:rsidRDefault="000B3866" w:rsidP="004C7779">
            <w:pPr>
              <w:spacing w:line="360" w:lineRule="auto"/>
              <w:ind w:left="318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widok diagnostyczny prezentujący problemy z sygnałem/prędkością;</w:t>
            </w:r>
          </w:p>
          <w:p w:rsidR="000B3866" w:rsidRPr="00BD023A" w:rsidRDefault="000B3866" w:rsidP="004C7779">
            <w:pPr>
              <w:spacing w:line="360" w:lineRule="auto"/>
              <w:ind w:left="318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wykorzystanie pasma;</w:t>
            </w:r>
          </w:p>
          <w:p w:rsidR="000B3866" w:rsidRPr="00BD023A" w:rsidRDefault="000B3866" w:rsidP="004C7779">
            <w:pPr>
              <w:spacing w:line="360" w:lineRule="auto"/>
              <w:ind w:left="318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liczba klientów korzystających z systemu/interferujących;</w:t>
            </w:r>
          </w:p>
          <w:p w:rsidR="000B3866" w:rsidRPr="00BD023A" w:rsidRDefault="000B3866" w:rsidP="004C7779">
            <w:pPr>
              <w:spacing w:line="360" w:lineRule="auto"/>
              <w:ind w:left="318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liczba ramek wejściowych/wyjściowych dla każdego radia;</w:t>
            </w:r>
          </w:p>
          <w:p w:rsidR="000B3866" w:rsidRPr="00BD023A" w:rsidRDefault="000B3866" w:rsidP="004C7779">
            <w:pPr>
              <w:spacing w:line="360" w:lineRule="auto"/>
              <w:ind w:left="318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liczba odrzuconych/błędnych ramek/s dla każdego radia;</w:t>
            </w:r>
          </w:p>
          <w:p w:rsidR="000B3866" w:rsidRPr="00BD023A" w:rsidRDefault="000B3866" w:rsidP="004C7779">
            <w:pPr>
              <w:spacing w:line="360" w:lineRule="auto"/>
              <w:ind w:left="318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- szum tła dla każdego radia;</w:t>
            </w:r>
          </w:p>
          <w:p w:rsidR="000B3866" w:rsidRPr="00BD023A" w:rsidRDefault="000B3866" w:rsidP="004C7779">
            <w:pPr>
              <w:spacing w:line="360" w:lineRule="auto"/>
              <w:ind w:left="318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- </w:t>
            </w:r>
            <w:r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wyświetlanie logów systemowych;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- wykorzystanie mechanizmów, poprawiających efektywność działania sieci radiowej, w tym co </w:t>
            </w: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lastRenderedPageBreak/>
              <w:t xml:space="preserve">najmniej: MRC – Maximum Radio </w:t>
            </w:r>
            <w:proofErr w:type="spellStart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Combining</w:t>
            </w:r>
            <w:proofErr w:type="spellEnd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, ACC – Advanced Cellular </w:t>
            </w:r>
            <w:proofErr w:type="spellStart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Coexistence</w:t>
            </w:r>
            <w:proofErr w:type="spellEnd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, STBC - Space-Time Block </w:t>
            </w:r>
            <w:proofErr w:type="spellStart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Coding</w:t>
            </w:r>
            <w:proofErr w:type="spellEnd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, LDPC  - </w:t>
            </w:r>
            <w:proofErr w:type="spellStart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Low-density</w:t>
            </w:r>
            <w:proofErr w:type="spellEnd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Parity</w:t>
            </w:r>
            <w:proofErr w:type="spellEnd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Check</w:t>
            </w:r>
            <w:proofErr w:type="spellEnd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 , </w:t>
            </w:r>
            <w:proofErr w:type="spellStart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TxBF</w:t>
            </w:r>
            <w:proofErr w:type="spellEnd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 – </w:t>
            </w:r>
            <w:proofErr w:type="spellStart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Transmit</w:t>
            </w:r>
            <w:proofErr w:type="spellEnd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Beamforming</w:t>
            </w:r>
            <w:proofErr w:type="spellEnd"/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>;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b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b/>
                <w:sz w:val="18"/>
                <w:szCs w:val="18"/>
                <w:lang w:eastAsia="ar-SA"/>
              </w:rPr>
              <w:lastRenderedPageBreak/>
              <w:t>Specyfikacja radia 802.11a/n/</w:t>
            </w:r>
            <w:proofErr w:type="spellStart"/>
            <w:r w:rsidRPr="00BD023A">
              <w:rPr>
                <w:rFonts w:ascii="Arial" w:eastAsia="SimSun" w:hAnsi="Arial" w:cs="Arial"/>
                <w:b/>
                <w:sz w:val="18"/>
                <w:szCs w:val="18"/>
                <w:lang w:eastAsia="ar-SA"/>
              </w:rPr>
              <w:t>ac</w:t>
            </w:r>
            <w:proofErr w:type="spellEnd"/>
            <w:r w:rsidRPr="00BD023A">
              <w:rPr>
                <w:rFonts w:ascii="Arial" w:eastAsia="SimSun" w:hAnsi="Arial" w:cs="Arial"/>
                <w:b/>
                <w:sz w:val="18"/>
                <w:szCs w:val="18"/>
                <w:lang w:eastAsia="ar-SA"/>
              </w:rPr>
              <w:t>:</w:t>
            </w:r>
          </w:p>
          <w:p w:rsidR="000B3866" w:rsidRPr="00BD023A" w:rsidRDefault="000B3866" w:rsidP="004C7779">
            <w:pPr>
              <w:spacing w:line="360" w:lineRule="auto"/>
              <w:ind w:left="34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 xml:space="preserve">Moc wyjściowa nie mniej niż 21dBm (18dBm per łańcuch nadawczy) </w:t>
            </w:r>
          </w:p>
          <w:p w:rsidR="000B3866" w:rsidRPr="00BD023A" w:rsidRDefault="000B3866" w:rsidP="004C7779">
            <w:pPr>
              <w:spacing w:line="360" w:lineRule="auto"/>
              <w:ind w:left="34"/>
              <w:rPr>
                <w:rFonts w:ascii="Arial" w:eastAsia="SimSun" w:hAnsi="Arial" w:cs="Arial"/>
                <w:color w:val="231F2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Obsługiwane częstotliwości</w:t>
            </w:r>
          </w:p>
          <w:p w:rsidR="000B3866" w:rsidRPr="00BD023A" w:rsidRDefault="000B3866" w:rsidP="004C7779">
            <w:pPr>
              <w:spacing w:line="360" w:lineRule="auto"/>
              <w:ind w:left="34"/>
              <w:rPr>
                <w:rFonts w:ascii="Arial" w:eastAsia="SimSun" w:hAnsi="Arial" w:cs="Arial"/>
                <w:color w:val="231F2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eastAsia="ar-SA"/>
              </w:rPr>
              <w:t>- 5.150 ~ 5.250 GHz (</w:t>
            </w:r>
            <w:proofErr w:type="spellStart"/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eastAsia="ar-SA"/>
              </w:rPr>
              <w:t>low</w:t>
            </w:r>
            <w:proofErr w:type="spellEnd"/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eastAsia="ar-SA"/>
              </w:rPr>
              <w:t xml:space="preserve"> band)</w:t>
            </w:r>
          </w:p>
          <w:p w:rsidR="000B3866" w:rsidRPr="00BD023A" w:rsidRDefault="000B3866" w:rsidP="004C7779">
            <w:pPr>
              <w:spacing w:line="360" w:lineRule="auto"/>
              <w:ind w:left="34"/>
              <w:rPr>
                <w:rFonts w:ascii="Arial" w:eastAsia="SimSun" w:hAnsi="Arial" w:cs="Arial"/>
                <w:color w:val="231F20"/>
                <w:sz w:val="18"/>
                <w:szCs w:val="18"/>
                <w:lang w:val="en-US" w:eastAsia="ar-SA"/>
              </w:rPr>
            </w:pPr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val="en-US" w:eastAsia="ar-SA"/>
              </w:rPr>
              <w:t>- 5.250 ~ 5.350 GHz (mid band)</w:t>
            </w:r>
          </w:p>
          <w:p w:rsidR="000B3866" w:rsidRPr="00BD023A" w:rsidRDefault="000B3866" w:rsidP="004C7779">
            <w:pPr>
              <w:spacing w:line="360" w:lineRule="auto"/>
              <w:ind w:left="34"/>
              <w:rPr>
                <w:rFonts w:ascii="Arial" w:eastAsia="SimSun" w:hAnsi="Arial" w:cs="Arial"/>
                <w:color w:val="231F20"/>
                <w:sz w:val="18"/>
                <w:szCs w:val="18"/>
                <w:lang w:val="en-US" w:eastAsia="ar-SA"/>
              </w:rPr>
            </w:pPr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val="en-US" w:eastAsia="ar-SA"/>
              </w:rPr>
              <w:t>- 5.470 ~ 5.725 GHz (Europa)</w:t>
            </w:r>
          </w:p>
          <w:p w:rsidR="000B3866" w:rsidRPr="00BD023A" w:rsidRDefault="000B3866" w:rsidP="004C7779">
            <w:pPr>
              <w:spacing w:line="360" w:lineRule="auto"/>
              <w:ind w:left="34"/>
              <w:rPr>
                <w:rFonts w:ascii="Arial" w:eastAsia="SimSun" w:hAnsi="Arial" w:cs="Arial"/>
                <w:color w:val="231F20"/>
                <w:sz w:val="18"/>
                <w:szCs w:val="18"/>
                <w:lang w:val="en-US" w:eastAsia="ar-SA"/>
              </w:rPr>
            </w:pPr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val="en-US" w:eastAsia="ar-SA"/>
              </w:rPr>
              <w:t>- 5.725 ~ 5.825/5.850 GHz (</w:t>
            </w:r>
            <w:proofErr w:type="spellStart"/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val="en-US" w:eastAsia="ar-SA"/>
              </w:rPr>
              <w:t>pasmo</w:t>
            </w:r>
            <w:proofErr w:type="spellEnd"/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val="en-US" w:eastAsia="ar-SA"/>
              </w:rPr>
              <w:t xml:space="preserve"> </w:t>
            </w:r>
            <w:proofErr w:type="spellStart"/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val="en-US" w:eastAsia="ar-SA"/>
              </w:rPr>
              <w:t>licencjonowane</w:t>
            </w:r>
            <w:proofErr w:type="spellEnd"/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val="en-US" w:eastAsia="ar-SA"/>
              </w:rPr>
              <w:t>)</w:t>
            </w:r>
          </w:p>
          <w:p w:rsidR="000B3866" w:rsidRPr="00BD023A" w:rsidRDefault="000B3866" w:rsidP="004C7779">
            <w:pPr>
              <w:spacing w:line="360" w:lineRule="auto"/>
              <w:ind w:left="34"/>
              <w:rPr>
                <w:rFonts w:ascii="Arial" w:eastAsia="SimSun" w:hAnsi="Arial" w:cs="Arial"/>
                <w:color w:val="231F20"/>
                <w:sz w:val="18"/>
                <w:szCs w:val="18"/>
                <w:lang w:val="en-US" w:eastAsia="ar-SA"/>
              </w:rPr>
            </w:pPr>
            <w:proofErr w:type="spellStart"/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val="en-US" w:eastAsia="ar-SA"/>
              </w:rPr>
              <w:t>Technologie</w:t>
            </w:r>
            <w:proofErr w:type="spellEnd"/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val="en-US" w:eastAsia="ar-SA"/>
              </w:rPr>
              <w:t xml:space="preserve"> </w:t>
            </w:r>
            <w:proofErr w:type="spellStart"/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val="en-US" w:eastAsia="ar-SA"/>
              </w:rPr>
              <w:t>obsługiwane</w:t>
            </w:r>
            <w:proofErr w:type="spellEnd"/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val="en-US" w:eastAsia="ar-SA"/>
              </w:rPr>
              <w:t>: orthogonal frequency division multiplexing (OFDM)</w:t>
            </w:r>
          </w:p>
          <w:p w:rsidR="000B3866" w:rsidRPr="00BD023A" w:rsidRDefault="000B3866" w:rsidP="004C7779">
            <w:pPr>
              <w:spacing w:line="360" w:lineRule="auto"/>
              <w:ind w:left="34"/>
              <w:rPr>
                <w:rFonts w:ascii="Arial" w:eastAsia="SimSun" w:hAnsi="Arial" w:cs="Arial"/>
                <w:color w:val="231F20"/>
                <w:sz w:val="18"/>
                <w:szCs w:val="18"/>
                <w:lang w:val="en-US" w:eastAsia="ar-SA"/>
              </w:rPr>
            </w:pPr>
            <w:proofErr w:type="spellStart"/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val="en-US" w:eastAsia="ar-SA"/>
              </w:rPr>
              <w:t>Typy</w:t>
            </w:r>
            <w:proofErr w:type="spellEnd"/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val="en-US" w:eastAsia="ar-SA"/>
              </w:rPr>
              <w:t xml:space="preserve"> </w:t>
            </w:r>
            <w:proofErr w:type="spellStart"/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val="en-US" w:eastAsia="ar-SA"/>
              </w:rPr>
              <w:t>modulacji</w:t>
            </w:r>
            <w:proofErr w:type="spellEnd"/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val="en-US" w:eastAsia="ar-SA"/>
              </w:rPr>
              <w:t>: BPSK, QPSK, 16-QAM, 64-QAM, 256-QAM</w:t>
            </w:r>
          </w:p>
          <w:p w:rsidR="000B3866" w:rsidRPr="00BD023A" w:rsidRDefault="000B3866" w:rsidP="004C7779">
            <w:pPr>
              <w:spacing w:line="360" w:lineRule="auto"/>
              <w:ind w:left="34"/>
              <w:rPr>
                <w:rFonts w:ascii="Arial" w:eastAsia="SimSun" w:hAnsi="Arial" w:cs="Arial"/>
                <w:color w:val="231F2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eastAsia="ar-SA"/>
              </w:rPr>
              <w:t xml:space="preserve">Moc transmisji konfigurowalna przez administratora – możliwość dwukrotnego zwiększenia/zmniejszenia mocy (o +/-3dB) </w:t>
            </w:r>
          </w:p>
          <w:p w:rsidR="000B3866" w:rsidRPr="00BD023A" w:rsidRDefault="000B3866" w:rsidP="004C7779">
            <w:pPr>
              <w:spacing w:line="360" w:lineRule="auto"/>
              <w:ind w:left="34"/>
              <w:rPr>
                <w:rFonts w:ascii="Arial" w:eastAsia="SimSun" w:hAnsi="Arial" w:cs="Arial"/>
                <w:color w:val="231F2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eastAsia="ar-SA"/>
              </w:rPr>
              <w:t xml:space="preserve">Prędkości transmisji: 6, 9, 12, 18, 24, 36, 48, 54 </w:t>
            </w:r>
            <w:proofErr w:type="spellStart"/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eastAsia="ar-SA"/>
              </w:rPr>
              <w:t>Mbps</w:t>
            </w:r>
            <w:proofErr w:type="spellEnd"/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eastAsia="ar-SA"/>
              </w:rPr>
              <w:t xml:space="preserve"> dla 802.11a/g, 802.11n MCS0-MCS23 (6,5Mbps do 450Mbps), 802.11ac  MCS0 do MCS9, NSS = 1 do 2 (6.5 do 867 </w:t>
            </w:r>
            <w:proofErr w:type="spellStart"/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eastAsia="ar-SA"/>
              </w:rPr>
              <w:t>Mbps</w:t>
            </w:r>
            <w:proofErr w:type="spellEnd"/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eastAsia="ar-SA"/>
              </w:rPr>
              <w:t>)</w:t>
            </w:r>
          </w:p>
          <w:p w:rsidR="000B3866" w:rsidRPr="00BD023A" w:rsidRDefault="000B3866" w:rsidP="004C7779">
            <w:pPr>
              <w:spacing w:line="360" w:lineRule="auto"/>
              <w:ind w:left="34"/>
              <w:rPr>
                <w:rFonts w:ascii="Arial" w:eastAsia="SimSun" w:hAnsi="Arial" w:cs="Arial"/>
                <w:color w:val="231F2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231F20"/>
                <w:sz w:val="18"/>
                <w:szCs w:val="18"/>
                <w:lang w:eastAsia="ar-SA"/>
              </w:rPr>
              <w:t>Obsługa HT – kana</w:t>
            </w:r>
            <w:r>
              <w:rPr>
                <w:rFonts w:ascii="Arial" w:eastAsia="SimSun" w:hAnsi="Arial" w:cs="Arial"/>
                <w:color w:val="231F20"/>
                <w:sz w:val="18"/>
                <w:szCs w:val="18"/>
                <w:lang w:eastAsia="ar-SA"/>
              </w:rPr>
              <w:t xml:space="preserve">ły 20, 40 oraz VHT 20/40/80MHz 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Default="000B3866" w:rsidP="004C7779">
            <w:pPr>
              <w:spacing w:line="360" w:lineRule="auto"/>
              <w:rPr>
                <w:rFonts w:ascii="Arial" w:eastAsia="SimSun" w:hAnsi="Arial" w:cs="Arial"/>
                <w:b/>
                <w:sz w:val="18"/>
                <w:szCs w:val="18"/>
                <w:lang w:eastAsia="ar-SA"/>
              </w:rPr>
            </w:pPr>
          </w:p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b/>
                <w:color w:val="000000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b/>
                <w:sz w:val="18"/>
                <w:szCs w:val="18"/>
                <w:lang w:eastAsia="ar-SA"/>
              </w:rPr>
              <w:t>Specyfikacja radia 802.11b/g/n:</w:t>
            </w:r>
          </w:p>
          <w:p w:rsidR="000B3866" w:rsidRPr="00BD023A" w:rsidRDefault="000B3866" w:rsidP="004C7779">
            <w:pPr>
              <w:spacing w:line="360" w:lineRule="auto"/>
              <w:ind w:left="34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color w:val="000000"/>
                <w:sz w:val="18"/>
                <w:szCs w:val="18"/>
                <w:lang w:eastAsia="ar-SA"/>
              </w:rPr>
              <w:t xml:space="preserve">Moc wyjściowa nie mniej niż 21dBm (18dBm per łańcuch nadawczy) </w:t>
            </w:r>
          </w:p>
          <w:p w:rsidR="000B3866" w:rsidRPr="00BD023A" w:rsidRDefault="000B3866" w:rsidP="004C7779">
            <w:pPr>
              <w:spacing w:line="360" w:lineRule="auto"/>
              <w:ind w:left="34"/>
              <w:rPr>
                <w:rFonts w:ascii="Arial" w:eastAsia="SimSun" w:hAnsi="Arial" w:cs="Arial"/>
                <w:sz w:val="18"/>
                <w:szCs w:val="18"/>
                <w:lang w:val="en-US" w:eastAsia="ar-SA"/>
              </w:rPr>
            </w:pPr>
            <w:proofErr w:type="spellStart"/>
            <w:r w:rsidRPr="00BD023A">
              <w:rPr>
                <w:rFonts w:ascii="Arial" w:eastAsia="SimSun" w:hAnsi="Arial" w:cs="Arial"/>
                <w:sz w:val="18"/>
                <w:szCs w:val="18"/>
                <w:lang w:val="en-US" w:eastAsia="ar-SA"/>
              </w:rPr>
              <w:t>Częstotliwość</w:t>
            </w:r>
            <w:proofErr w:type="spellEnd"/>
            <w:r w:rsidRPr="00BD023A">
              <w:rPr>
                <w:rFonts w:ascii="Arial" w:eastAsia="SimSun" w:hAnsi="Arial" w:cs="Arial"/>
                <w:sz w:val="18"/>
                <w:szCs w:val="18"/>
                <w:lang w:val="en-US" w:eastAsia="ar-SA"/>
              </w:rPr>
              <w:t xml:space="preserve"> 2,400 ~2,4835GHz</w:t>
            </w:r>
          </w:p>
          <w:p w:rsidR="000B3866" w:rsidRPr="00BD023A" w:rsidRDefault="000B3866" w:rsidP="004C7779">
            <w:pPr>
              <w:spacing w:line="360" w:lineRule="auto"/>
              <w:ind w:left="34"/>
              <w:rPr>
                <w:rFonts w:ascii="Arial" w:eastAsia="SimSun" w:hAnsi="Arial" w:cs="Arial"/>
                <w:sz w:val="18"/>
                <w:szCs w:val="18"/>
                <w:lang w:val="en-US" w:eastAsia="ar-SA"/>
              </w:rPr>
            </w:pPr>
            <w:proofErr w:type="spellStart"/>
            <w:r w:rsidRPr="00BD023A">
              <w:rPr>
                <w:rFonts w:ascii="Arial" w:eastAsia="SimSun" w:hAnsi="Arial" w:cs="Arial"/>
                <w:sz w:val="18"/>
                <w:szCs w:val="18"/>
                <w:lang w:val="en-US" w:eastAsia="ar-SA"/>
              </w:rPr>
              <w:t>Technologia</w:t>
            </w:r>
            <w:proofErr w:type="spellEnd"/>
            <w:r w:rsidRPr="00BD023A">
              <w:rPr>
                <w:rFonts w:ascii="Arial" w:eastAsia="SimSun" w:hAnsi="Arial" w:cs="Arial"/>
                <w:sz w:val="18"/>
                <w:szCs w:val="18"/>
                <w:lang w:val="en-US" w:eastAsia="ar-SA"/>
              </w:rPr>
              <w:t xml:space="preserve"> direct sequence spread spectrum (DSSS) </w:t>
            </w:r>
            <w:proofErr w:type="spellStart"/>
            <w:r w:rsidRPr="00BD023A">
              <w:rPr>
                <w:rFonts w:ascii="Arial" w:eastAsia="SimSun" w:hAnsi="Arial" w:cs="Arial"/>
                <w:sz w:val="18"/>
                <w:szCs w:val="18"/>
                <w:lang w:val="en-US" w:eastAsia="ar-SA"/>
              </w:rPr>
              <w:t>oraz</w:t>
            </w:r>
            <w:proofErr w:type="spellEnd"/>
            <w:r w:rsidRPr="00BD023A">
              <w:rPr>
                <w:rFonts w:ascii="Arial" w:eastAsia="SimSun" w:hAnsi="Arial" w:cs="Arial"/>
                <w:sz w:val="18"/>
                <w:szCs w:val="18"/>
                <w:lang w:val="en-US" w:eastAsia="ar-SA"/>
              </w:rPr>
              <w:t xml:space="preserve"> OFDM</w:t>
            </w:r>
          </w:p>
          <w:p w:rsidR="000B3866" w:rsidRPr="00BD023A" w:rsidRDefault="000B3866" w:rsidP="004C7779">
            <w:pPr>
              <w:spacing w:line="360" w:lineRule="auto"/>
              <w:ind w:left="34"/>
              <w:rPr>
                <w:rFonts w:ascii="Arial" w:eastAsia="SimSun" w:hAnsi="Arial" w:cs="Arial"/>
                <w:sz w:val="18"/>
                <w:szCs w:val="18"/>
                <w:lang w:val="en-US" w:eastAsia="ar-SA"/>
              </w:rPr>
            </w:pPr>
            <w:proofErr w:type="spellStart"/>
            <w:r w:rsidRPr="00BD023A">
              <w:rPr>
                <w:rFonts w:ascii="Arial" w:eastAsia="SimSun" w:hAnsi="Arial" w:cs="Arial"/>
                <w:sz w:val="18"/>
                <w:szCs w:val="18"/>
                <w:lang w:val="en-US" w:eastAsia="ar-SA"/>
              </w:rPr>
              <w:t>Typy</w:t>
            </w:r>
            <w:proofErr w:type="spellEnd"/>
            <w:r w:rsidRPr="00BD023A">
              <w:rPr>
                <w:rFonts w:ascii="Arial" w:eastAsia="SimSun" w:hAnsi="Arial" w:cs="Arial"/>
                <w:sz w:val="18"/>
                <w:szCs w:val="18"/>
                <w:lang w:val="en-US" w:eastAsia="ar-SA"/>
              </w:rPr>
              <w:t xml:space="preserve"> </w:t>
            </w:r>
            <w:proofErr w:type="spellStart"/>
            <w:r w:rsidRPr="00BD023A">
              <w:rPr>
                <w:rFonts w:ascii="Arial" w:eastAsia="SimSun" w:hAnsi="Arial" w:cs="Arial"/>
                <w:sz w:val="18"/>
                <w:szCs w:val="18"/>
                <w:lang w:val="en-US" w:eastAsia="ar-SA"/>
              </w:rPr>
              <w:t>modulacji</w:t>
            </w:r>
            <w:proofErr w:type="spellEnd"/>
            <w:r w:rsidRPr="00BD023A">
              <w:rPr>
                <w:rFonts w:ascii="Arial" w:eastAsia="SimSun" w:hAnsi="Arial" w:cs="Arial"/>
                <w:sz w:val="18"/>
                <w:szCs w:val="18"/>
                <w:lang w:val="en-US" w:eastAsia="ar-SA"/>
              </w:rPr>
              <w:t xml:space="preserve"> – CCK, BPSK, QPSK,16-QAM, 64-QAM</w:t>
            </w:r>
          </w:p>
          <w:p w:rsidR="000B3866" w:rsidRPr="00BD023A" w:rsidRDefault="000B3866" w:rsidP="004C7779">
            <w:pPr>
              <w:spacing w:line="360" w:lineRule="auto"/>
              <w:ind w:left="34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Moc transmisji konfigurowalna przez administratora – możliwość dwukrotnego zwiększenia/zmniejszenia mocy (o +/-3dB)</w:t>
            </w:r>
          </w:p>
          <w:p w:rsidR="000B3866" w:rsidRPr="00BD023A" w:rsidRDefault="000B3866" w:rsidP="004C7779">
            <w:pPr>
              <w:spacing w:line="360" w:lineRule="auto"/>
              <w:ind w:left="34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 xml:space="preserve">Prędkości transmisji: 6,9,12,18,24,36,48,54 </w:t>
            </w:r>
            <w:proofErr w:type="spellStart"/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Mbps</w:t>
            </w:r>
            <w:proofErr w:type="spellEnd"/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 xml:space="preserve"> dla 802.11g</w:t>
            </w:r>
          </w:p>
          <w:p w:rsidR="000B3866" w:rsidRPr="00BD023A" w:rsidRDefault="000B3866" w:rsidP="004C7779">
            <w:pPr>
              <w:spacing w:line="360" w:lineRule="auto"/>
              <w:ind w:left="34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bookmarkStart w:id="1" w:name="OLE_LINK31"/>
            <w:bookmarkStart w:id="2" w:name="OLE_LINK32"/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 xml:space="preserve">Prędkości od MCS0 do MCS15 (6.5 </w:t>
            </w:r>
            <w:proofErr w:type="spellStart"/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Mbps</w:t>
            </w:r>
            <w:proofErr w:type="spellEnd"/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 xml:space="preserve"> do 300 </w:t>
            </w:r>
            <w:proofErr w:type="spellStart"/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Mbps</w:t>
            </w:r>
            <w:proofErr w:type="spellEnd"/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) dla 802.11n</w:t>
            </w:r>
          </w:p>
          <w:p w:rsidR="000B3866" w:rsidRPr="00BD023A" w:rsidRDefault="000B3866" w:rsidP="004C7779">
            <w:pPr>
              <w:spacing w:line="360" w:lineRule="auto"/>
              <w:ind w:left="34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 xml:space="preserve">Obsługa HT – kanały 20 oraz 40MHz </w:t>
            </w:r>
            <w:bookmarkEnd w:id="1"/>
            <w:bookmarkEnd w:id="2"/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4C7779">
        <w:trPr>
          <w:trHeight w:val="383"/>
        </w:trPr>
        <w:tc>
          <w:tcPr>
            <w:tcW w:w="4619" w:type="dxa"/>
          </w:tcPr>
          <w:p w:rsidR="000B3866" w:rsidRDefault="000B3866" w:rsidP="004C7779">
            <w:pPr>
              <w:spacing w:line="360" w:lineRule="auto"/>
              <w:rPr>
                <w:rFonts w:ascii="Arial" w:eastAsia="SimSun" w:hAnsi="Arial" w:cs="Arial"/>
                <w:b/>
                <w:sz w:val="18"/>
                <w:szCs w:val="18"/>
                <w:lang w:eastAsia="ar-SA"/>
              </w:rPr>
            </w:pPr>
          </w:p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b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b/>
                <w:sz w:val="18"/>
                <w:szCs w:val="18"/>
                <w:lang w:eastAsia="ar-SA"/>
              </w:rPr>
              <w:t>Parametry pracy urządzenia:</w:t>
            </w:r>
          </w:p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Temperatura otoczenia: 0-40 º C</w:t>
            </w:r>
          </w:p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lastRenderedPageBreak/>
              <w:t>Wilgotność 5% - 95%</w:t>
            </w:r>
          </w:p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 xml:space="preserve">Obsługiwane standardy: </w:t>
            </w:r>
          </w:p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eastAsia="ar-SA"/>
              </w:rPr>
              <w:t>Ethernet IEEE 802.3 / IEEE 802.3u</w:t>
            </w:r>
          </w:p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  <w:lang w:val="en-US"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val="en-US" w:eastAsia="ar-SA"/>
              </w:rPr>
              <w:t>802.3az Energy Efficient Ethernet (EEE)</w:t>
            </w:r>
          </w:p>
          <w:p w:rsidR="000B3866" w:rsidRPr="00BD023A" w:rsidRDefault="000B3866" w:rsidP="004C7779">
            <w:pPr>
              <w:spacing w:line="360" w:lineRule="auto"/>
              <w:rPr>
                <w:rFonts w:ascii="Arial" w:eastAsia="SimSun" w:hAnsi="Arial" w:cs="Arial"/>
                <w:sz w:val="18"/>
                <w:szCs w:val="18"/>
                <w:lang w:val="en-US" w:eastAsia="ar-SA"/>
              </w:rPr>
            </w:pPr>
            <w:r w:rsidRPr="00BD023A">
              <w:rPr>
                <w:rFonts w:ascii="Arial" w:eastAsia="SimSun" w:hAnsi="Arial" w:cs="Arial"/>
                <w:sz w:val="18"/>
                <w:szCs w:val="18"/>
                <w:lang w:val="en-US" w:eastAsia="ar-SA"/>
              </w:rPr>
              <w:t>Wireless IEEE 802.11a/b/g/n/ac</w:t>
            </w:r>
          </w:p>
        </w:tc>
        <w:tc>
          <w:tcPr>
            <w:tcW w:w="4619" w:type="dxa"/>
          </w:tcPr>
          <w:p w:rsidR="000B3866" w:rsidRPr="00BD023A" w:rsidRDefault="000B3866" w:rsidP="004C77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C75B9" w:rsidRDefault="00DC75B9">
      <w:r>
        <w:lastRenderedPageBreak/>
        <w:br w:type="page"/>
      </w: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4619"/>
        <w:gridCol w:w="4619"/>
      </w:tblGrid>
      <w:tr w:rsidR="000B3866" w:rsidRPr="009325C3" w:rsidTr="00DC75B9">
        <w:trPr>
          <w:trHeight w:val="383"/>
        </w:trPr>
        <w:tc>
          <w:tcPr>
            <w:tcW w:w="4619" w:type="dxa"/>
            <w:shd w:val="clear" w:color="auto" w:fill="FFFFCC"/>
          </w:tcPr>
          <w:p w:rsidR="000B3866" w:rsidRPr="00BD023A" w:rsidRDefault="000B3866" w:rsidP="000126ED">
            <w:pPr>
              <w:spacing w:line="360" w:lineRule="auto"/>
              <w:rPr>
                <w:rFonts w:ascii="Arial" w:eastAsia="SimSun" w:hAnsi="Arial" w:cs="Arial"/>
                <w:b/>
                <w:sz w:val="18"/>
                <w:szCs w:val="18"/>
                <w:lang w:eastAsia="ar-SA"/>
              </w:rPr>
            </w:pPr>
          </w:p>
          <w:p w:rsidR="000B3866" w:rsidRPr="00BD023A" w:rsidRDefault="000B3866" w:rsidP="000126ED">
            <w:pPr>
              <w:spacing w:line="360" w:lineRule="auto"/>
              <w:rPr>
                <w:rFonts w:ascii="Arial" w:eastAsia="SimSun" w:hAnsi="Arial" w:cs="Arial"/>
                <w:b/>
                <w:sz w:val="18"/>
                <w:szCs w:val="18"/>
                <w:lang w:eastAsia="ar-SA"/>
              </w:rPr>
            </w:pPr>
            <w:r w:rsidRPr="00BD023A">
              <w:rPr>
                <w:rFonts w:ascii="Arial" w:eastAsia="SimSun" w:hAnsi="Arial" w:cs="Arial"/>
                <w:b/>
                <w:sz w:val="18"/>
                <w:szCs w:val="18"/>
                <w:lang w:eastAsia="ar-SA"/>
              </w:rPr>
              <w:t xml:space="preserve">Oprogramowanie </w:t>
            </w:r>
            <w:r>
              <w:rPr>
                <w:rFonts w:ascii="Arial" w:eastAsia="SimSun" w:hAnsi="Arial" w:cs="Arial"/>
                <w:b/>
                <w:sz w:val="18"/>
                <w:szCs w:val="18"/>
                <w:lang w:eastAsia="ar-SA"/>
              </w:rPr>
              <w:t>zarządzające powinno umożliwiać</w:t>
            </w:r>
          </w:p>
        </w:tc>
        <w:tc>
          <w:tcPr>
            <w:tcW w:w="4619" w:type="dxa"/>
            <w:shd w:val="clear" w:color="auto" w:fill="FFFFCC"/>
          </w:tcPr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D023A">
              <w:rPr>
                <w:rFonts w:ascii="Arial" w:hAnsi="Arial" w:cs="Arial"/>
                <w:b/>
                <w:sz w:val="18"/>
                <w:szCs w:val="18"/>
              </w:rPr>
              <w:t>Oprogramowanie zarządzające umożliwia:</w:t>
            </w:r>
          </w:p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DC75B9">
        <w:trPr>
          <w:trHeight w:val="383"/>
        </w:trPr>
        <w:tc>
          <w:tcPr>
            <w:tcW w:w="4619" w:type="dxa"/>
          </w:tcPr>
          <w:p w:rsidR="00532293" w:rsidRDefault="00532293" w:rsidP="00532293">
            <w:pPr>
              <w:pStyle w:val="Zwykytekst"/>
            </w:pPr>
            <w:r>
              <w:t xml:space="preserve">Zamawiający wymaga aby dostarczone punkty dostępowe współpracowały z posiadanym przez Zamawiającego oprogramowaniem </w:t>
            </w:r>
            <w:proofErr w:type="spellStart"/>
            <w:r>
              <w:t>AirWave</w:t>
            </w:r>
            <w:proofErr w:type="spellEnd"/>
            <w:r>
              <w:t xml:space="preserve"> i wówczas wymaga dostarczenia 40 licencji uprawniających do obsługi tych urządzeń we wskazanym oprogramowaniu </w:t>
            </w:r>
          </w:p>
          <w:p w:rsidR="00532293" w:rsidRDefault="00532293" w:rsidP="00532293">
            <w:pPr>
              <w:pStyle w:val="Zwykytekst"/>
            </w:pPr>
          </w:p>
          <w:p w:rsidR="00532293" w:rsidRPr="00532293" w:rsidRDefault="00532293" w:rsidP="00532293">
            <w:pPr>
              <w:pStyle w:val="Zwykytekst"/>
              <w:rPr>
                <w:b/>
              </w:rPr>
            </w:pPr>
            <w:r w:rsidRPr="00532293">
              <w:rPr>
                <w:b/>
              </w:rPr>
              <w:t xml:space="preserve">lub </w:t>
            </w:r>
          </w:p>
          <w:p w:rsidR="00532293" w:rsidRDefault="00532293" w:rsidP="00532293">
            <w:pPr>
              <w:pStyle w:val="Zwykytekst"/>
            </w:pPr>
          </w:p>
          <w:p w:rsidR="00532293" w:rsidRDefault="00532293" w:rsidP="00532293">
            <w:pPr>
              <w:pStyle w:val="Zwykytekst"/>
            </w:pPr>
            <w:r>
              <w:t>Zamawiający wymaga aby Wykonawca dostarczył inne oprogramowanie oraz licencje na dostarczone punkty dostępowe oraz dodatkowo na 32 punkty dostępowe Aruba Instant IAP-205 Wireless Access Point posiadane przez Zamawiającego. Dostarczone oprogramowanie musi spełniać następujące wymagania:</w:t>
            </w:r>
          </w:p>
          <w:p w:rsidR="00532293" w:rsidRDefault="00532293" w:rsidP="00532293">
            <w:pPr>
              <w:pStyle w:val="Zwykytekst"/>
            </w:pPr>
            <w:r>
              <w:t>•</w:t>
            </w:r>
            <w:r>
              <w:tab/>
              <w:t>instalację w systemie Linux w otoczeniu wirtualnym (VMware);</w:t>
            </w:r>
          </w:p>
          <w:p w:rsidR="00532293" w:rsidRDefault="00532293" w:rsidP="00532293">
            <w:pPr>
              <w:pStyle w:val="Zwykytekst"/>
            </w:pPr>
            <w:r>
              <w:t>•</w:t>
            </w:r>
            <w:r>
              <w:tab/>
              <w:t>centralne zarządzanie oferowanym systemem punktów bezprzewodowych;</w:t>
            </w:r>
          </w:p>
          <w:p w:rsidR="00532293" w:rsidRDefault="00532293" w:rsidP="00532293">
            <w:pPr>
              <w:pStyle w:val="Zwykytekst"/>
            </w:pPr>
            <w:r>
              <w:t>•</w:t>
            </w:r>
            <w:r>
              <w:tab/>
              <w:t>centralne zarządzanie infrastrukturą przewodową i bezprzewodową</w:t>
            </w:r>
          </w:p>
          <w:p w:rsidR="00532293" w:rsidRDefault="00532293" w:rsidP="00532293">
            <w:pPr>
              <w:pStyle w:val="Zwykytekst"/>
            </w:pPr>
            <w:r>
              <w:t>różnych producentów;</w:t>
            </w:r>
          </w:p>
          <w:p w:rsidR="00532293" w:rsidRDefault="00532293" w:rsidP="00532293">
            <w:pPr>
              <w:pStyle w:val="Zwykytekst"/>
            </w:pPr>
            <w:r>
              <w:t>•</w:t>
            </w:r>
            <w:r>
              <w:tab/>
              <w:t>monitoring w czasie rzeczywistym, powiadomienia wyprzedzające</w:t>
            </w:r>
          </w:p>
          <w:p w:rsidR="00532293" w:rsidRDefault="00532293" w:rsidP="00532293">
            <w:pPr>
              <w:pStyle w:val="Zwykytekst"/>
            </w:pPr>
            <w:r>
              <w:t>problemy, raporty historyczne i pomoc w usuwaniu problemów;</w:t>
            </w:r>
          </w:p>
          <w:p w:rsidR="00532293" w:rsidRDefault="00532293" w:rsidP="00532293">
            <w:pPr>
              <w:pStyle w:val="Zwykytekst"/>
            </w:pPr>
            <w:r>
              <w:t>•</w:t>
            </w:r>
            <w:r>
              <w:tab/>
              <w:t>zobrazowanie środowiska bezprzewodowego: informację o użytkownikach</w:t>
            </w:r>
          </w:p>
          <w:p w:rsidR="00532293" w:rsidRDefault="00532293" w:rsidP="00532293">
            <w:pPr>
              <w:pStyle w:val="Zwykytekst"/>
            </w:pPr>
            <w:r>
              <w:t>sieci, ich położeniu i wydajności sieci;</w:t>
            </w:r>
          </w:p>
          <w:p w:rsidR="00532293" w:rsidRDefault="00532293" w:rsidP="00532293">
            <w:pPr>
              <w:pStyle w:val="Zwykytekst"/>
            </w:pPr>
            <w:r>
              <w:t>•</w:t>
            </w:r>
            <w:r>
              <w:tab/>
              <w:t>wykrywanie nieautoryzowanych punktów dostępowych i minimalizowanie</w:t>
            </w:r>
          </w:p>
          <w:p w:rsidR="000B3866" w:rsidRPr="00DC75B9" w:rsidRDefault="00532293" w:rsidP="00DC75B9">
            <w:pPr>
              <w:pStyle w:val="Zwykytekst"/>
            </w:pPr>
            <w:r>
              <w:t>skutków ich obecności w sieci;</w:t>
            </w:r>
          </w:p>
        </w:tc>
        <w:tc>
          <w:tcPr>
            <w:tcW w:w="4619" w:type="dxa"/>
          </w:tcPr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DC75B9">
        <w:trPr>
          <w:trHeight w:val="383"/>
        </w:trPr>
        <w:tc>
          <w:tcPr>
            <w:tcW w:w="4619" w:type="dxa"/>
            <w:shd w:val="clear" w:color="auto" w:fill="FFFFCC"/>
          </w:tcPr>
          <w:p w:rsidR="000B3866" w:rsidRDefault="000B3866" w:rsidP="000126E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D023A">
              <w:rPr>
                <w:rFonts w:ascii="Arial" w:hAnsi="Arial" w:cs="Arial"/>
                <w:b/>
                <w:sz w:val="18"/>
                <w:szCs w:val="18"/>
              </w:rPr>
              <w:t>Gwarancja i serwis musi obejmować:</w:t>
            </w:r>
          </w:p>
        </w:tc>
        <w:tc>
          <w:tcPr>
            <w:tcW w:w="4619" w:type="dxa"/>
            <w:shd w:val="clear" w:color="auto" w:fill="FFFFCC"/>
          </w:tcPr>
          <w:p w:rsidR="000B3866" w:rsidRDefault="000B3866" w:rsidP="000126E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D023A">
              <w:rPr>
                <w:rFonts w:ascii="Arial" w:hAnsi="Arial" w:cs="Arial"/>
                <w:b/>
                <w:sz w:val="18"/>
                <w:szCs w:val="18"/>
              </w:rPr>
              <w:t>Gwarancja i serwis obejmuje:</w:t>
            </w:r>
          </w:p>
        </w:tc>
      </w:tr>
      <w:tr w:rsidR="000B3866" w:rsidRPr="009325C3" w:rsidTr="00DC75B9">
        <w:trPr>
          <w:trHeight w:val="383"/>
        </w:trPr>
        <w:tc>
          <w:tcPr>
            <w:tcW w:w="4619" w:type="dxa"/>
          </w:tcPr>
          <w:p w:rsidR="000B3866" w:rsidRDefault="000B3866" w:rsidP="000126E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BD023A">
              <w:rPr>
                <w:rFonts w:ascii="Arial" w:hAnsi="Arial" w:cs="Arial"/>
                <w:sz w:val="18"/>
                <w:szCs w:val="18"/>
              </w:rPr>
              <w:t xml:space="preserve">- wsparcie techniczne, aktualizacje oprogramowania </w:t>
            </w:r>
            <w:r w:rsidRPr="00397157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 xml:space="preserve">a okres co najmniej 1 roku realizowane </w:t>
            </w:r>
            <w:r w:rsidRPr="00BD023A">
              <w:rPr>
                <w:rFonts w:ascii="Arial" w:hAnsi="Arial" w:cs="Arial"/>
                <w:sz w:val="18"/>
                <w:szCs w:val="18"/>
              </w:rPr>
              <w:t>przez polskojęzy</w:t>
            </w:r>
            <w:r w:rsidR="00B25750">
              <w:rPr>
                <w:rFonts w:ascii="Arial" w:hAnsi="Arial" w:cs="Arial"/>
                <w:sz w:val="18"/>
                <w:szCs w:val="18"/>
              </w:rPr>
              <w:t>czne centrum pomocy technicznej (</w:t>
            </w:r>
            <w:r w:rsidR="00B25750" w:rsidRPr="00B25750">
              <w:rPr>
                <w:rFonts w:ascii="Arial" w:hAnsi="Arial" w:cs="Arial"/>
                <w:b/>
                <w:sz w:val="18"/>
                <w:szCs w:val="18"/>
              </w:rPr>
              <w:t>kryterium oceny ofert zgodnie z rozdz. XI ust. 1 SIWZ</w:t>
            </w:r>
            <w:r w:rsidR="00B25750">
              <w:rPr>
                <w:rFonts w:ascii="Arial" w:hAnsi="Arial" w:cs="Arial"/>
                <w:sz w:val="18"/>
                <w:szCs w:val="18"/>
              </w:rPr>
              <w:t>)</w:t>
            </w:r>
            <w:r w:rsidRPr="00BD023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BD023A">
              <w:rPr>
                <w:rFonts w:ascii="Arial" w:hAnsi="Arial" w:cs="Arial"/>
                <w:sz w:val="18"/>
                <w:szCs w:val="18"/>
              </w:rPr>
              <w:t xml:space="preserve">- zgłaszanie incydentów przez portal WWW, pocztę i telefon 24/7/365. </w:t>
            </w:r>
          </w:p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BD023A">
              <w:rPr>
                <w:rFonts w:ascii="Arial" w:hAnsi="Arial" w:cs="Arial"/>
                <w:sz w:val="18"/>
                <w:szCs w:val="18"/>
              </w:rPr>
              <w:t xml:space="preserve">- wymianę uszkodzonego urządzenia w okresie 10 dni roboczych od zgłoszenia awarii. </w:t>
            </w:r>
          </w:p>
        </w:tc>
        <w:tc>
          <w:tcPr>
            <w:tcW w:w="4619" w:type="dxa"/>
          </w:tcPr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DC75B9">
        <w:trPr>
          <w:trHeight w:val="383"/>
        </w:trPr>
        <w:tc>
          <w:tcPr>
            <w:tcW w:w="4619" w:type="dxa"/>
          </w:tcPr>
          <w:p w:rsidR="000B3866" w:rsidRDefault="000B3866" w:rsidP="000126E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60989">
              <w:rPr>
                <w:rFonts w:ascii="Arial" w:hAnsi="Arial" w:cs="Arial"/>
                <w:sz w:val="18"/>
                <w:szCs w:val="18"/>
              </w:rPr>
              <w:lastRenderedPageBreak/>
              <w:t>ograniczoną dożywotnią gwarancję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D023A">
              <w:rPr>
                <w:rFonts w:ascii="Arial" w:hAnsi="Arial" w:cs="Arial"/>
                <w:sz w:val="18"/>
                <w:szCs w:val="18"/>
              </w:rPr>
              <w:t>– punkty dostępowe muszą być objęte gwarancją przez 5 lat od daty ogłoszenia przez producenta zaprzestania sprzedaży danego modelu urządzenia;</w:t>
            </w:r>
          </w:p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BD023A">
              <w:rPr>
                <w:rFonts w:ascii="Arial" w:hAnsi="Arial" w:cs="Arial"/>
                <w:sz w:val="18"/>
                <w:szCs w:val="18"/>
              </w:rPr>
              <w:t xml:space="preserve">- realizację gwarancji przez zwrot zepsutego urządzenia do </w:t>
            </w:r>
            <w:r>
              <w:rPr>
                <w:rFonts w:ascii="Arial" w:hAnsi="Arial" w:cs="Arial"/>
                <w:sz w:val="18"/>
                <w:szCs w:val="18"/>
              </w:rPr>
              <w:t xml:space="preserve">wykonawcy lub </w:t>
            </w:r>
            <w:r w:rsidRPr="00BD023A">
              <w:rPr>
                <w:rFonts w:ascii="Arial" w:hAnsi="Arial" w:cs="Arial"/>
                <w:sz w:val="18"/>
                <w:szCs w:val="18"/>
              </w:rPr>
              <w:t>producenta, który w terminie nie dłuższym niż 45 dni przesyła zamiennik;</w:t>
            </w:r>
          </w:p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BD023A">
              <w:rPr>
                <w:rFonts w:ascii="Arial" w:hAnsi="Arial" w:cs="Arial"/>
                <w:sz w:val="18"/>
                <w:szCs w:val="18"/>
              </w:rPr>
              <w:t>- realizację gwarancji bez wymagania zakupu/posiadania ważnego kontraktu wsparcia technicznego;</w:t>
            </w:r>
          </w:p>
        </w:tc>
        <w:tc>
          <w:tcPr>
            <w:tcW w:w="4619" w:type="dxa"/>
          </w:tcPr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866" w:rsidRPr="009325C3" w:rsidTr="00DC75B9">
        <w:trPr>
          <w:trHeight w:val="383"/>
        </w:trPr>
        <w:tc>
          <w:tcPr>
            <w:tcW w:w="4619" w:type="dxa"/>
          </w:tcPr>
          <w:p w:rsidR="000B3866" w:rsidRDefault="000B3866" w:rsidP="000126E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D023A">
              <w:rPr>
                <w:rFonts w:ascii="Arial" w:hAnsi="Arial" w:cs="Arial"/>
                <w:b/>
                <w:sz w:val="18"/>
                <w:szCs w:val="18"/>
              </w:rPr>
              <w:t>Dodatkowe warunki zamówienia:</w:t>
            </w:r>
          </w:p>
        </w:tc>
        <w:tc>
          <w:tcPr>
            <w:tcW w:w="4619" w:type="dxa"/>
          </w:tcPr>
          <w:p w:rsidR="000B3866" w:rsidRDefault="000B3866" w:rsidP="000126E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D023A">
              <w:rPr>
                <w:rFonts w:ascii="Arial" w:hAnsi="Arial" w:cs="Arial"/>
                <w:b/>
                <w:sz w:val="18"/>
                <w:szCs w:val="18"/>
              </w:rPr>
              <w:t xml:space="preserve">Dodatkowo oświadczamy iż: </w:t>
            </w:r>
          </w:p>
        </w:tc>
      </w:tr>
      <w:tr w:rsidR="000B3866" w:rsidRPr="009325C3" w:rsidTr="00DC75B9">
        <w:trPr>
          <w:trHeight w:val="383"/>
        </w:trPr>
        <w:tc>
          <w:tcPr>
            <w:tcW w:w="4619" w:type="dxa"/>
          </w:tcPr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BD023A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BD023A">
              <w:rPr>
                <w:rFonts w:ascii="Arial" w:hAnsi="Arial" w:cs="Arial"/>
                <w:sz w:val="18"/>
                <w:szCs w:val="18"/>
              </w:rPr>
              <w:t>na urządzeniach musi być umieszczone oznaczenie CE.</w:t>
            </w:r>
          </w:p>
        </w:tc>
        <w:tc>
          <w:tcPr>
            <w:tcW w:w="4619" w:type="dxa"/>
          </w:tcPr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D023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- </w:t>
            </w:r>
            <w:r w:rsidRPr="00BD023A">
              <w:rPr>
                <w:rFonts w:ascii="Arial" w:hAnsi="Arial" w:cs="Arial"/>
                <w:i/>
                <w:sz w:val="18"/>
                <w:szCs w:val="18"/>
              </w:rPr>
              <w:t>na urządzeniach jest  umieszczone oznaczenie CE.</w:t>
            </w:r>
          </w:p>
        </w:tc>
      </w:tr>
      <w:tr w:rsidR="000B3866" w:rsidRPr="009325C3" w:rsidTr="00DC75B9">
        <w:trPr>
          <w:trHeight w:val="383"/>
        </w:trPr>
        <w:tc>
          <w:tcPr>
            <w:tcW w:w="4619" w:type="dxa"/>
          </w:tcPr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BD023A">
              <w:rPr>
                <w:rFonts w:ascii="Arial" w:hAnsi="Arial" w:cs="Arial"/>
                <w:sz w:val="18"/>
                <w:szCs w:val="18"/>
              </w:rPr>
              <w:t>- urządzenia stanowiące przedmiot zamówienia muszą być fabrycznie nowe i wyprodukowane nie wcześniej niż 6 miesięcy przed dostawą.</w:t>
            </w:r>
          </w:p>
        </w:tc>
        <w:tc>
          <w:tcPr>
            <w:tcW w:w="4619" w:type="dxa"/>
          </w:tcPr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D023A">
              <w:rPr>
                <w:rFonts w:ascii="Arial" w:hAnsi="Arial" w:cs="Arial"/>
                <w:i/>
                <w:sz w:val="18"/>
                <w:szCs w:val="18"/>
              </w:rPr>
              <w:t>- urządzenia są fabrycznie nowe i wyprodukowane nie wcześniej niż 6 miesięcy przed dostawą.</w:t>
            </w:r>
          </w:p>
        </w:tc>
      </w:tr>
      <w:tr w:rsidR="000B3866" w:rsidRPr="009325C3" w:rsidTr="00DC75B9">
        <w:trPr>
          <w:trHeight w:val="383"/>
        </w:trPr>
        <w:tc>
          <w:tcPr>
            <w:tcW w:w="4619" w:type="dxa"/>
          </w:tcPr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BD023A">
              <w:rPr>
                <w:rFonts w:ascii="Arial" w:hAnsi="Arial" w:cs="Arial"/>
                <w:sz w:val="18"/>
                <w:szCs w:val="18"/>
              </w:rPr>
              <w:t xml:space="preserve">- urządzenia muszą pochodzić z autoryzowanego kanału sprzedaży producenta na rynek Unii Europejskiej. </w:t>
            </w:r>
          </w:p>
        </w:tc>
        <w:tc>
          <w:tcPr>
            <w:tcW w:w="4619" w:type="dxa"/>
          </w:tcPr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D023A">
              <w:rPr>
                <w:rFonts w:ascii="Arial" w:hAnsi="Arial" w:cs="Arial"/>
                <w:i/>
                <w:sz w:val="18"/>
                <w:szCs w:val="18"/>
              </w:rPr>
              <w:t xml:space="preserve">- urządzenia pochodzą z autoryzowanego kanału sprzedaży producenta na rynek Unii Europejskiej. </w:t>
            </w:r>
          </w:p>
        </w:tc>
      </w:tr>
      <w:tr w:rsidR="000B3866" w:rsidRPr="009325C3" w:rsidTr="00DC75B9">
        <w:trPr>
          <w:trHeight w:val="383"/>
        </w:trPr>
        <w:tc>
          <w:tcPr>
            <w:tcW w:w="4619" w:type="dxa"/>
          </w:tcPr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BD023A">
              <w:rPr>
                <w:rFonts w:ascii="Arial" w:hAnsi="Arial" w:cs="Arial"/>
                <w:sz w:val="18"/>
                <w:szCs w:val="18"/>
              </w:rPr>
              <w:t>- urządzenia muszą być zarejestrowane w bazie danych producenta na użytkownika końcowego, jakim będzie Zamawiający. Rejestracja powinna być dokonana przez Wykonawcę.</w:t>
            </w:r>
          </w:p>
        </w:tc>
        <w:tc>
          <w:tcPr>
            <w:tcW w:w="4619" w:type="dxa"/>
          </w:tcPr>
          <w:p w:rsidR="000B3866" w:rsidRPr="00BD023A" w:rsidRDefault="000B3866" w:rsidP="000126ED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D023A">
              <w:rPr>
                <w:rFonts w:ascii="Arial" w:hAnsi="Arial" w:cs="Arial"/>
                <w:i/>
                <w:sz w:val="18"/>
                <w:szCs w:val="18"/>
              </w:rPr>
              <w:t>- urządzenia zostaną zarejestrowane w bazie danych producenta na użytkownika końcowego tj. na  Zamawiającego. Rejestracja dokonana przez Wykonawcę.</w:t>
            </w:r>
          </w:p>
        </w:tc>
      </w:tr>
    </w:tbl>
    <w:p w:rsidR="002A38E0" w:rsidRDefault="002A38E0"/>
    <w:sectPr w:rsidR="002A38E0" w:rsidSect="004C7779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5B9" w:rsidRDefault="00DC75B9" w:rsidP="00DC75B9">
      <w:r>
        <w:separator/>
      </w:r>
    </w:p>
  </w:endnote>
  <w:endnote w:type="continuationSeparator" w:id="0">
    <w:p w:rsidR="00DC75B9" w:rsidRDefault="00DC75B9" w:rsidP="00DC7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5B9" w:rsidRDefault="00DC75B9" w:rsidP="00DC75B9">
      <w:r>
        <w:separator/>
      </w:r>
    </w:p>
  </w:footnote>
  <w:footnote w:type="continuationSeparator" w:id="0">
    <w:p w:rsidR="00DC75B9" w:rsidRDefault="00DC75B9" w:rsidP="00DC7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5B9" w:rsidRDefault="00B93ADC" w:rsidP="00DC75B9">
    <w:pPr>
      <w:pStyle w:val="Nagwek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909347060"/>
        <w:docPartObj>
          <w:docPartGallery w:val="Page Numbers (Margins)"/>
          <w:docPartUnique/>
        </w:docPartObj>
      </w:sdtPr>
      <w:sdtEndPr/>
      <w:sdtContent>
        <w:r w:rsidR="002D596D" w:rsidRPr="002D596D">
          <w:rPr>
            <w:rFonts w:ascii="Arial" w:hAnsi="Arial" w:cs="Arial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43540CC" wp14:editId="5A03922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596D" w:rsidRDefault="002D596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B93ADC" w:rsidRPr="00B93ADC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7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2D596D" w:rsidRDefault="002D596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B93ADC" w:rsidRPr="00B93ADC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7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DC75B9" w:rsidRPr="00DC75B9">
      <w:rPr>
        <w:rFonts w:ascii="Arial" w:hAnsi="Arial" w:cs="Arial"/>
        <w:sz w:val="18"/>
        <w:szCs w:val="18"/>
      </w:rPr>
      <w:t>Załącznik nr 2A do SIWZ nr DZP.381.1</w:t>
    </w:r>
    <w:r w:rsidR="000C013F">
      <w:rPr>
        <w:rFonts w:ascii="Arial" w:hAnsi="Arial" w:cs="Arial"/>
        <w:sz w:val="18"/>
        <w:szCs w:val="18"/>
      </w:rPr>
      <w:t>1</w:t>
    </w:r>
    <w:r w:rsidR="00DC75B9" w:rsidRPr="00DC75B9">
      <w:rPr>
        <w:rFonts w:ascii="Arial" w:hAnsi="Arial" w:cs="Arial"/>
        <w:sz w:val="18"/>
        <w:szCs w:val="18"/>
      </w:rPr>
      <w:t>9.2016.DW</w:t>
    </w:r>
  </w:p>
  <w:p w:rsidR="004C7779" w:rsidRPr="00DC75B9" w:rsidRDefault="004C7779" w:rsidP="00DC75B9">
    <w:pPr>
      <w:pStyle w:val="Nagwek"/>
      <w:jc w:val="right"/>
      <w:rPr>
        <w:rFonts w:ascii="Arial" w:hAnsi="Arial" w:cs="Arial"/>
        <w:sz w:val="18"/>
        <w:szCs w:val="18"/>
      </w:rPr>
    </w:pPr>
  </w:p>
  <w:p w:rsidR="004C7779" w:rsidRDefault="004C777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779" w:rsidRDefault="004C7779" w:rsidP="004C7779">
    <w:pPr>
      <w:pStyle w:val="Nagwek"/>
      <w:jc w:val="right"/>
      <w:rPr>
        <w:rFonts w:ascii="Arial" w:hAnsi="Arial" w:cs="Arial"/>
        <w:sz w:val="18"/>
        <w:szCs w:val="18"/>
      </w:rPr>
    </w:pPr>
    <w:r w:rsidRPr="00DC75B9">
      <w:rPr>
        <w:rFonts w:ascii="Arial" w:hAnsi="Arial" w:cs="Arial"/>
        <w:sz w:val="18"/>
        <w:szCs w:val="18"/>
      </w:rPr>
      <w:t>Załącznik nr 2A do SIWZ nr DZP.381.1</w:t>
    </w:r>
    <w:r w:rsidR="000C013F">
      <w:rPr>
        <w:rFonts w:ascii="Arial" w:hAnsi="Arial" w:cs="Arial"/>
        <w:sz w:val="18"/>
        <w:szCs w:val="18"/>
      </w:rPr>
      <w:t>1</w:t>
    </w:r>
    <w:r w:rsidRPr="00DC75B9">
      <w:rPr>
        <w:rFonts w:ascii="Arial" w:hAnsi="Arial" w:cs="Arial"/>
        <w:sz w:val="18"/>
        <w:szCs w:val="18"/>
      </w:rPr>
      <w:t>9.2016.DW</w:t>
    </w:r>
  </w:p>
  <w:p w:rsidR="004C7779" w:rsidRDefault="004C7779" w:rsidP="004C7779">
    <w:pPr>
      <w:pStyle w:val="Nagwek"/>
      <w:jc w:val="right"/>
      <w:rPr>
        <w:rFonts w:ascii="Arial" w:hAnsi="Arial" w:cs="Arial"/>
        <w:sz w:val="18"/>
        <w:szCs w:val="18"/>
      </w:rPr>
    </w:pPr>
  </w:p>
  <w:p w:rsidR="004C7779" w:rsidRPr="004C7779" w:rsidRDefault="004C7779" w:rsidP="004C7779">
    <w:pPr>
      <w:spacing w:line="360" w:lineRule="auto"/>
      <w:jc w:val="center"/>
      <w:rPr>
        <w:rFonts w:ascii="Arial" w:hAnsi="Arial" w:cs="Arial"/>
        <w:b/>
        <w:snapToGrid w:val="0"/>
        <w:color w:val="000000"/>
        <w:sz w:val="20"/>
        <w:u w:val="single"/>
      </w:rPr>
    </w:pPr>
    <w:r w:rsidRPr="004C7779">
      <w:rPr>
        <w:rFonts w:ascii="Arial" w:hAnsi="Arial" w:cs="Arial"/>
        <w:b/>
        <w:snapToGrid w:val="0"/>
        <w:color w:val="000000"/>
        <w:sz w:val="20"/>
        <w:u w:val="single"/>
      </w:rPr>
      <w:t>Szczegółowy opis przedmiotu zamówienia – część A</w:t>
    </w:r>
  </w:p>
  <w:p w:rsidR="004C7779" w:rsidRDefault="004C77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866"/>
    <w:rsid w:val="000B3866"/>
    <w:rsid w:val="000C013F"/>
    <w:rsid w:val="002A38E0"/>
    <w:rsid w:val="002D596D"/>
    <w:rsid w:val="004C7779"/>
    <w:rsid w:val="00532293"/>
    <w:rsid w:val="00673349"/>
    <w:rsid w:val="00B25750"/>
    <w:rsid w:val="00B93ADC"/>
    <w:rsid w:val="00DC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386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3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532293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32293"/>
    <w:rPr>
      <w:rFonts w:ascii="Calibri" w:hAnsi="Calibri"/>
      <w:szCs w:val="21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DC75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75B9"/>
    <w:rPr>
      <w:rFonts w:ascii="Times New Roman" w:eastAsia="Calibri" w:hAnsi="Times New Roman" w:cs="Times New Roman"/>
      <w:sz w:val="24"/>
      <w:szCs w:val="20"/>
      <w:lang w:val="pl-PL" w:eastAsia="zh-CN"/>
    </w:rPr>
  </w:style>
  <w:style w:type="paragraph" w:styleId="Stopka">
    <w:name w:val="footer"/>
    <w:basedOn w:val="Normalny"/>
    <w:link w:val="StopkaZnak"/>
    <w:uiPriority w:val="99"/>
    <w:unhideWhenUsed/>
    <w:rsid w:val="00DC75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75B9"/>
    <w:rPr>
      <w:rFonts w:ascii="Times New Roman" w:eastAsia="Calibri" w:hAnsi="Times New Roman" w:cs="Times New Roman"/>
      <w:sz w:val="24"/>
      <w:szCs w:val="20"/>
      <w:lang w:val="pl-PL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386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3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532293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32293"/>
    <w:rPr>
      <w:rFonts w:ascii="Calibri" w:hAnsi="Calibri"/>
      <w:szCs w:val="21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DC75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75B9"/>
    <w:rPr>
      <w:rFonts w:ascii="Times New Roman" w:eastAsia="Calibri" w:hAnsi="Times New Roman" w:cs="Times New Roman"/>
      <w:sz w:val="24"/>
      <w:szCs w:val="20"/>
      <w:lang w:val="pl-PL" w:eastAsia="zh-CN"/>
    </w:rPr>
  </w:style>
  <w:style w:type="paragraph" w:styleId="Stopka">
    <w:name w:val="footer"/>
    <w:basedOn w:val="Normalny"/>
    <w:link w:val="StopkaZnak"/>
    <w:uiPriority w:val="99"/>
    <w:unhideWhenUsed/>
    <w:rsid w:val="00DC75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75B9"/>
    <w:rPr>
      <w:rFonts w:ascii="Times New Roman" w:eastAsia="Calibri" w:hAnsi="Times New Roman" w:cs="Times New Roman"/>
      <w:sz w:val="24"/>
      <w:szCs w:val="20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1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A2851-C0FB-4488-9414-6125C27E5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E1D1F387</Template>
  <TotalTime>29</TotalTime>
  <Pages>7</Pages>
  <Words>1364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marcin.serwecinski</dc:creator>
  <cp:lastModifiedBy>Damian Ludwikowski</cp:lastModifiedBy>
  <cp:revision>8</cp:revision>
  <cp:lastPrinted>2016-11-02T07:24:00Z</cp:lastPrinted>
  <dcterms:created xsi:type="dcterms:W3CDTF">2016-10-07T08:52:00Z</dcterms:created>
  <dcterms:modified xsi:type="dcterms:W3CDTF">2016-11-02T07:24:00Z</dcterms:modified>
</cp:coreProperties>
</file>