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47" w:rsidRDefault="00607747" w:rsidP="00607747">
      <w:pPr>
        <w:spacing w:line="360" w:lineRule="auto"/>
        <w:jc w:val="center"/>
        <w:rPr>
          <w:rStyle w:val="Pogrubienie"/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Szczegółowy opis prze</w:t>
      </w:r>
      <w:bookmarkStart w:id="0" w:name="_GoBack"/>
      <w:bookmarkEnd w:id="0"/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dmiotu zamówienia – część </w:t>
      </w:r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  <w:r w:rsidRPr="00607747">
        <w:rPr>
          <w:rFonts w:ascii="Arial" w:hAnsi="Arial" w:cs="Arial"/>
          <w:sz w:val="18"/>
          <w:szCs w:val="18"/>
        </w:rPr>
        <w:t>Aktualizacja comiesięczna (24 razy) dla 5 stanowisk.</w:t>
      </w: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  <w:r w:rsidRPr="00607747">
        <w:rPr>
          <w:rFonts w:ascii="Arial" w:hAnsi="Arial" w:cs="Arial"/>
          <w:sz w:val="18"/>
          <w:szCs w:val="18"/>
        </w:rPr>
        <w:t>Aktualizacja comiesięczna (24 razy) dla 1 stanowiska na laptop.</w:t>
      </w: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  <w:r w:rsidRPr="00607747">
        <w:rPr>
          <w:rFonts w:ascii="Arial" w:hAnsi="Arial" w:cs="Arial"/>
          <w:sz w:val="18"/>
          <w:szCs w:val="18"/>
        </w:rPr>
        <w:t>Zawartość:</w:t>
      </w: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</w:p>
    <w:p w:rsidR="00A6049F" w:rsidRPr="00607747" w:rsidRDefault="00A6049F" w:rsidP="00607747">
      <w:pPr>
        <w:spacing w:line="360" w:lineRule="auto"/>
        <w:ind w:left="-37" w:hanging="360"/>
        <w:rPr>
          <w:rStyle w:val="Pogrubienie"/>
          <w:rFonts w:ascii="Arial" w:hAnsi="Arial" w:cs="Arial"/>
          <w:b w:val="0"/>
          <w:sz w:val="18"/>
          <w:szCs w:val="18"/>
        </w:rPr>
      </w:pPr>
      <w:r w:rsidRPr="00607747">
        <w:rPr>
          <w:rFonts w:ascii="Arial" w:hAnsi="Arial" w:cs="Arial"/>
          <w:sz w:val="18"/>
          <w:szCs w:val="18"/>
        </w:rPr>
        <w:t xml:space="preserve">      - </w:t>
      </w:r>
      <w:r w:rsidRPr="00607747">
        <w:rPr>
          <w:rFonts w:ascii="Arial" w:eastAsia="Calibri" w:hAnsi="Arial" w:cs="Arial"/>
          <w:sz w:val="18"/>
          <w:szCs w:val="18"/>
        </w:rPr>
        <w:t xml:space="preserve">akty prawne ogłoszone w Dzienniku Ustaw oraz Monitorze Polskim </w:t>
      </w:r>
      <w:r w:rsidRPr="00607747">
        <w:rPr>
          <w:rFonts w:ascii="Arial" w:hAnsi="Arial" w:cs="Arial"/>
          <w:noProof/>
          <w:sz w:val="18"/>
          <w:szCs w:val="18"/>
        </w:rPr>
        <w:t>z  kompletem   tekstów pierwotnych – od 1918 roku aktów prawnych (zeskanowanych) identycznych co do formy, jak tekst opublikowany w wersji papierowej w Dzienniku Ustaw i Monitorze  Polskim</w:t>
      </w:r>
      <w:r w:rsidRPr="00607747">
        <w:rPr>
          <w:rFonts w:ascii="Arial" w:eastAsia="Calibri" w:hAnsi="Arial" w:cs="Arial"/>
          <w:sz w:val="18"/>
          <w:szCs w:val="18"/>
        </w:rPr>
        <w:t>,</w:t>
      </w:r>
      <w:r w:rsidRPr="00607747">
        <w:rPr>
          <w:rStyle w:val="Pogrubienie"/>
          <w:rFonts w:ascii="Arial" w:hAnsi="Arial" w:cs="Arial"/>
          <w:b w:val="0"/>
          <w:sz w:val="18"/>
          <w:szCs w:val="18"/>
        </w:rPr>
        <w:t xml:space="preserve"> </w:t>
      </w:r>
    </w:p>
    <w:p w:rsidR="00A6049F" w:rsidRPr="00607747" w:rsidRDefault="00A6049F" w:rsidP="00607747">
      <w:pPr>
        <w:spacing w:line="360" w:lineRule="auto"/>
        <w:ind w:left="-37" w:hanging="360"/>
        <w:rPr>
          <w:rStyle w:val="Pogrubienie"/>
          <w:rFonts w:ascii="Arial" w:hAnsi="Arial" w:cs="Arial"/>
          <w:b w:val="0"/>
          <w:sz w:val="18"/>
          <w:szCs w:val="18"/>
        </w:rPr>
      </w:pPr>
    </w:p>
    <w:p w:rsidR="00A6049F" w:rsidRPr="00607747" w:rsidRDefault="00A6049F" w:rsidP="00607747">
      <w:pPr>
        <w:spacing w:line="360" w:lineRule="auto"/>
        <w:ind w:left="-37" w:hanging="360"/>
        <w:rPr>
          <w:rFonts w:ascii="Arial" w:hAnsi="Arial" w:cs="Arial"/>
          <w:sz w:val="18"/>
          <w:szCs w:val="18"/>
        </w:rPr>
      </w:pPr>
      <w:r w:rsidRPr="00607747">
        <w:rPr>
          <w:rStyle w:val="Pogrubienie"/>
          <w:rFonts w:ascii="Arial" w:hAnsi="Arial" w:cs="Arial"/>
          <w:b w:val="0"/>
          <w:sz w:val="18"/>
          <w:szCs w:val="18"/>
        </w:rPr>
        <w:tab/>
        <w:t>- dostęp do orzecznictw oraz baza glos do orzeczeń</w:t>
      </w:r>
      <w:r w:rsidRPr="00607747">
        <w:rPr>
          <w:rStyle w:val="Pogrubienie"/>
          <w:rFonts w:ascii="Arial" w:hAnsi="Arial" w:cs="Arial"/>
          <w:sz w:val="18"/>
          <w:szCs w:val="18"/>
        </w:rPr>
        <w:t xml:space="preserve"> -</w:t>
      </w:r>
      <w:r w:rsidRPr="00607747">
        <w:rPr>
          <w:rFonts w:ascii="Arial" w:hAnsi="Arial" w:cs="Arial"/>
          <w:bCs/>
          <w:sz w:val="18"/>
          <w:szCs w:val="18"/>
        </w:rPr>
        <w:t xml:space="preserve"> </w:t>
      </w:r>
      <w:r w:rsidRPr="00607747">
        <w:rPr>
          <w:rFonts w:ascii="Arial" w:hAnsi="Arial" w:cs="Arial"/>
          <w:sz w:val="18"/>
          <w:szCs w:val="18"/>
        </w:rPr>
        <w:t>orzeczenia sądów polskich (SN, SA, WSA, NSA, sądy rejonowe) oraz administracji (RIO, SKO, GKO, zespołu arbitrów przy UZP, komisji przy MF i inne), orzeczenia Europejskiego Trybunału Sprawiedliwości i Sądu Pierwszej Instancji Wspólnot Europejskich, wyroki Trybunału Konstytucyjnego,</w:t>
      </w:r>
    </w:p>
    <w:p w:rsidR="00A6049F" w:rsidRPr="00607747" w:rsidRDefault="00A6049F" w:rsidP="00607747">
      <w:pPr>
        <w:spacing w:line="360" w:lineRule="auto"/>
        <w:ind w:left="-37" w:hanging="360"/>
        <w:rPr>
          <w:rFonts w:ascii="Arial" w:hAnsi="Arial" w:cs="Arial"/>
          <w:sz w:val="18"/>
          <w:szCs w:val="18"/>
        </w:rPr>
      </w:pPr>
    </w:p>
    <w:p w:rsidR="00A6049F" w:rsidRPr="00607747" w:rsidRDefault="00A6049F" w:rsidP="00607747">
      <w:pPr>
        <w:spacing w:line="360" w:lineRule="auto"/>
        <w:rPr>
          <w:rStyle w:val="treejsonelement"/>
          <w:rFonts w:ascii="Arial" w:hAnsi="Arial" w:cs="Arial"/>
          <w:sz w:val="18"/>
          <w:szCs w:val="18"/>
        </w:rPr>
      </w:pPr>
      <w:r w:rsidRPr="00607747">
        <w:rPr>
          <w:rStyle w:val="treejsonelement"/>
          <w:rFonts w:ascii="Arial" w:hAnsi="Arial" w:cs="Arial"/>
          <w:sz w:val="18"/>
          <w:szCs w:val="18"/>
        </w:rPr>
        <w:t>- dostęp do tzw. Orzecznictwa Strasburskiego  (Ochrona Praw Człowieka, Europejski Trybunał Praw Człowieka itp.),</w:t>
      </w:r>
    </w:p>
    <w:p w:rsidR="00A6049F" w:rsidRPr="00607747" w:rsidRDefault="00A6049F" w:rsidP="00607747">
      <w:pPr>
        <w:spacing w:line="360" w:lineRule="auto"/>
        <w:rPr>
          <w:rFonts w:ascii="Arial" w:hAnsi="Arial" w:cs="Arial"/>
          <w:sz w:val="18"/>
          <w:szCs w:val="18"/>
        </w:rPr>
      </w:pPr>
    </w:p>
    <w:p w:rsidR="00A6049F" w:rsidRPr="00607747" w:rsidRDefault="00A6049F" w:rsidP="00607747">
      <w:pPr>
        <w:spacing w:line="360" w:lineRule="auto"/>
        <w:rPr>
          <w:rStyle w:val="treejsonelement"/>
          <w:rFonts w:ascii="Arial" w:hAnsi="Arial" w:cs="Arial"/>
          <w:sz w:val="18"/>
          <w:szCs w:val="18"/>
        </w:rPr>
      </w:pPr>
      <w:r w:rsidRPr="00607747">
        <w:rPr>
          <w:rStyle w:val="treejsonelement"/>
          <w:rFonts w:ascii="Arial" w:hAnsi="Arial" w:cs="Arial"/>
          <w:sz w:val="18"/>
          <w:szCs w:val="18"/>
        </w:rPr>
        <w:t>- dostęp do Prawa Kanonicznego,</w:t>
      </w:r>
    </w:p>
    <w:p w:rsidR="00A6049F" w:rsidRPr="00607747" w:rsidRDefault="00A6049F" w:rsidP="00607747">
      <w:pPr>
        <w:spacing w:line="360" w:lineRule="auto"/>
        <w:rPr>
          <w:rStyle w:val="treejsonelement"/>
          <w:rFonts w:ascii="Arial" w:hAnsi="Arial" w:cs="Arial"/>
          <w:sz w:val="18"/>
          <w:szCs w:val="18"/>
        </w:rPr>
      </w:pPr>
    </w:p>
    <w:p w:rsidR="00A6049F" w:rsidRPr="00607747" w:rsidRDefault="00A6049F" w:rsidP="00607747">
      <w:pPr>
        <w:pStyle w:val="NormalnyWeb"/>
        <w:spacing w:before="0" w:beforeAutospacing="0" w:line="360" w:lineRule="auto"/>
        <w:rPr>
          <w:rFonts w:ascii="Arial" w:hAnsi="Arial" w:cs="Arial"/>
          <w:sz w:val="18"/>
          <w:szCs w:val="18"/>
        </w:rPr>
      </w:pPr>
      <w:r w:rsidRPr="00607747">
        <w:rPr>
          <w:rFonts w:ascii="Arial" w:hAnsi="Arial" w:cs="Arial"/>
          <w:bCs/>
          <w:sz w:val="18"/>
          <w:szCs w:val="18"/>
        </w:rPr>
        <w:t>- dostęp do komentarzy</w:t>
      </w:r>
      <w:r w:rsidRPr="00607747">
        <w:rPr>
          <w:rFonts w:ascii="Arial" w:hAnsi="Arial" w:cs="Arial"/>
          <w:sz w:val="18"/>
          <w:szCs w:val="18"/>
        </w:rPr>
        <w:t xml:space="preserve">, które w obszerny sposób wyjaśniają istotne zagadnienia dotyczące wszystkich gałęzi prawa. Zagadnienia z pozycji komentarzowych podpięte są pod odpowiednie jednostki aktów prawnych. Komentarze dotyczą następujących kodeksów i ustaw: KC, KPC, KK, KPK, </w:t>
      </w:r>
      <w:proofErr w:type="spellStart"/>
      <w:r w:rsidRPr="00607747">
        <w:rPr>
          <w:rFonts w:ascii="Arial" w:hAnsi="Arial" w:cs="Arial"/>
          <w:sz w:val="18"/>
          <w:szCs w:val="18"/>
        </w:rPr>
        <w:t>KRiO</w:t>
      </w:r>
      <w:proofErr w:type="spellEnd"/>
      <w:r w:rsidRPr="00607747">
        <w:rPr>
          <w:rFonts w:ascii="Arial" w:hAnsi="Arial" w:cs="Arial"/>
          <w:sz w:val="18"/>
          <w:szCs w:val="18"/>
        </w:rPr>
        <w:t>, KPA, KSH, Hipoteki i księgi wieczyste, Prawo spółdzielcze, Prawo budowlane i gospodarka nieruchomościami, Prawo upadłościowe i naprawcze, Ochrona konkurencji i konsumentów, Zamówienia publiczne, Podatki oraz Finanse publiczne. </w:t>
      </w:r>
    </w:p>
    <w:p w:rsidR="00A6049F" w:rsidRPr="003C04E7" w:rsidRDefault="00A6049F" w:rsidP="00A6049F">
      <w:pPr>
        <w:rPr>
          <w:sz w:val="24"/>
          <w:szCs w:val="24"/>
        </w:rPr>
      </w:pPr>
    </w:p>
    <w:p w:rsidR="00EF4DE3" w:rsidRDefault="00EF4DE3"/>
    <w:sectPr w:rsidR="00EF4D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40D" w:rsidRDefault="00CE0766">
      <w:r>
        <w:separator/>
      </w:r>
    </w:p>
  </w:endnote>
  <w:endnote w:type="continuationSeparator" w:id="0">
    <w:p w:rsidR="00F8740D" w:rsidRDefault="00CE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45" w:rsidRDefault="00A6049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504F6">
      <w:rPr>
        <w:noProof/>
      </w:rPr>
      <w:t>1</w:t>
    </w:r>
    <w:r>
      <w:fldChar w:fldCharType="end"/>
    </w:r>
  </w:p>
  <w:p w:rsidR="008B4E45" w:rsidRDefault="00E504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40D" w:rsidRDefault="00CE0766">
      <w:r>
        <w:separator/>
      </w:r>
    </w:p>
  </w:footnote>
  <w:footnote w:type="continuationSeparator" w:id="0">
    <w:p w:rsidR="00F8740D" w:rsidRDefault="00CE0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F6" w:rsidRDefault="00E504F6" w:rsidP="00E504F6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C</w:t>
    </w:r>
    <w:r>
      <w:rPr>
        <w:rFonts w:cs="Calibri"/>
        <w:b/>
      </w:rPr>
      <w:t xml:space="preserve"> do SIWZ DZP.381.01.2014.DW</w:t>
    </w:r>
  </w:p>
  <w:p w:rsidR="00E504F6" w:rsidRDefault="00E504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9F"/>
    <w:rsid w:val="00607747"/>
    <w:rsid w:val="00A6049F"/>
    <w:rsid w:val="00CE0766"/>
    <w:rsid w:val="00E504F6"/>
    <w:rsid w:val="00EF4DE3"/>
    <w:rsid w:val="00F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A6049F"/>
    <w:rPr>
      <w:b/>
      <w:bCs/>
    </w:rPr>
  </w:style>
  <w:style w:type="character" w:customStyle="1" w:styleId="treejsonelement">
    <w:name w:val="treejsonelement"/>
    <w:rsid w:val="00A6049F"/>
  </w:style>
  <w:style w:type="paragraph" w:styleId="Stopka">
    <w:name w:val="footer"/>
    <w:basedOn w:val="Normalny"/>
    <w:link w:val="StopkaZnak"/>
    <w:uiPriority w:val="99"/>
    <w:rsid w:val="00A604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4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6049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0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4F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A6049F"/>
    <w:rPr>
      <w:b/>
      <w:bCs/>
    </w:rPr>
  </w:style>
  <w:style w:type="character" w:customStyle="1" w:styleId="treejsonelement">
    <w:name w:val="treejsonelement"/>
    <w:rsid w:val="00A6049F"/>
  </w:style>
  <w:style w:type="paragraph" w:styleId="Stopka">
    <w:name w:val="footer"/>
    <w:basedOn w:val="Normalny"/>
    <w:link w:val="StopkaZnak"/>
    <w:uiPriority w:val="99"/>
    <w:rsid w:val="00A604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4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6049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0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4F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4C36793D</Template>
  <TotalTime>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4</cp:revision>
  <dcterms:created xsi:type="dcterms:W3CDTF">2013-12-19T09:49:00Z</dcterms:created>
  <dcterms:modified xsi:type="dcterms:W3CDTF">2014-01-23T14:08:00Z</dcterms:modified>
</cp:coreProperties>
</file>